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5CBC6" w14:textId="67D9FECB" w:rsidR="00170B94" w:rsidRPr="00DF4666" w:rsidRDefault="00170B94" w:rsidP="00884B65">
      <w:pPr>
        <w:spacing w:after="0"/>
        <w:jc w:val="center"/>
        <w:rPr>
          <w:rFonts w:ascii="Times New Roman" w:hAnsi="Times New Roman" w:cs="Times New Roman"/>
          <w:b/>
          <w:bCs/>
          <w:color w:val="EE0000"/>
          <w:sz w:val="24"/>
          <w:szCs w:val="24"/>
          <w:lang w:val="ro-RO"/>
        </w:rPr>
      </w:pPr>
      <w:r w:rsidRPr="00270D5B">
        <w:rPr>
          <w:rFonts w:ascii="Times New Roman" w:hAnsi="Times New Roman" w:cs="Times New Roman"/>
          <w:b/>
          <w:bCs/>
          <w:sz w:val="24"/>
          <w:szCs w:val="24"/>
          <w:lang w:val="ro-RO"/>
        </w:rPr>
        <w:t>REZUMATUL CARACTERISTICILOR PRODUSULUI</w:t>
      </w:r>
    </w:p>
    <w:p w14:paraId="696729CB" w14:textId="77777777" w:rsidR="00170B94" w:rsidRPr="00270D5B" w:rsidRDefault="00170B94" w:rsidP="002B222E">
      <w:pPr>
        <w:spacing w:after="0"/>
        <w:jc w:val="both"/>
        <w:rPr>
          <w:rFonts w:ascii="Times New Roman" w:hAnsi="Times New Roman" w:cs="Times New Roman"/>
          <w:sz w:val="24"/>
          <w:szCs w:val="24"/>
          <w:lang w:val="ro-RO"/>
        </w:rPr>
      </w:pPr>
    </w:p>
    <w:p w14:paraId="35BB39CC"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1. DENUMIREA COMERCIALĂ A MEDICAMENTULUI</w:t>
      </w:r>
    </w:p>
    <w:p w14:paraId="59F9B273" w14:textId="3B755DCD" w:rsidR="00170B94" w:rsidRPr="00270D5B" w:rsidRDefault="003B2784"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w:t>
      </w:r>
      <w:r w:rsidR="00AA7177" w:rsidRPr="00270D5B">
        <w:rPr>
          <w:rFonts w:ascii="Times New Roman" w:hAnsi="Times New Roman" w:cs="Times New Roman"/>
          <w:sz w:val="24"/>
          <w:szCs w:val="24"/>
          <w:lang w:val="ro-RO"/>
        </w:rPr>
        <w:t>eday XR 50</w:t>
      </w:r>
      <w:r w:rsidRPr="00270D5B">
        <w:rPr>
          <w:rFonts w:ascii="Times New Roman" w:hAnsi="Times New Roman" w:cs="Times New Roman"/>
          <w:sz w:val="24"/>
          <w:szCs w:val="24"/>
          <w:lang w:val="ro-RO"/>
        </w:rPr>
        <w:t xml:space="preserve"> mg </w:t>
      </w:r>
      <w:bookmarkStart w:id="0" w:name="_Hlk178848261"/>
      <w:r w:rsidRPr="00270D5B">
        <w:rPr>
          <w:rFonts w:ascii="Times New Roman" w:hAnsi="Times New Roman" w:cs="Times New Roman"/>
          <w:sz w:val="24"/>
          <w:szCs w:val="24"/>
          <w:lang w:val="ro-RO"/>
        </w:rPr>
        <w:t xml:space="preserve">comprimate </w:t>
      </w:r>
      <w:r w:rsidR="00AA7177" w:rsidRPr="00270D5B">
        <w:rPr>
          <w:rFonts w:ascii="Times New Roman" w:hAnsi="Times New Roman" w:cs="Times New Roman"/>
          <w:sz w:val="24"/>
          <w:szCs w:val="24"/>
          <w:lang w:val="ro-RO"/>
        </w:rPr>
        <w:t>cu eliberare prelungită</w:t>
      </w:r>
      <w:bookmarkEnd w:id="0"/>
    </w:p>
    <w:p w14:paraId="7E2EE1E2" w14:textId="184CCB74" w:rsidR="00AA7177" w:rsidRPr="00270D5B" w:rsidRDefault="00AA7177"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150 mg comprimate cu eliberare prelungită</w:t>
      </w:r>
    </w:p>
    <w:p w14:paraId="2A17E384" w14:textId="1C619874" w:rsidR="00AA7177" w:rsidRPr="00270D5B" w:rsidRDefault="00AA7177"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200 mg comprimate cu eliberare prelungită</w:t>
      </w:r>
    </w:p>
    <w:p w14:paraId="5B3FD9B1" w14:textId="77777777" w:rsidR="00170B94" w:rsidRPr="00270D5B" w:rsidRDefault="00170B94" w:rsidP="002B222E">
      <w:pPr>
        <w:spacing w:after="0"/>
        <w:jc w:val="both"/>
        <w:rPr>
          <w:rFonts w:ascii="Times New Roman" w:hAnsi="Times New Roman" w:cs="Times New Roman"/>
          <w:sz w:val="24"/>
          <w:szCs w:val="24"/>
          <w:lang w:val="ro-RO"/>
        </w:rPr>
      </w:pPr>
    </w:p>
    <w:p w14:paraId="3B8F3511"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2. COMPOZIŢIA CALITATIVĂ ŞI CANTITATIVĂ</w:t>
      </w:r>
    </w:p>
    <w:p w14:paraId="1070CBAE" w14:textId="3FF72C97" w:rsidR="00AA7177" w:rsidRPr="00270D5B" w:rsidRDefault="00AA7177"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50 mg conține quetiapină 50 mg (sub formă de fumarat de quetiapină).</w:t>
      </w:r>
    </w:p>
    <w:p w14:paraId="25667516" w14:textId="4CB06C3E" w:rsidR="003B2784" w:rsidRPr="00270D5B" w:rsidRDefault="00AA7177"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Excipien</w:t>
      </w:r>
      <w:r w:rsidR="00716BF3" w:rsidRPr="00270D5B">
        <w:rPr>
          <w:rFonts w:ascii="Times New Roman" w:hAnsi="Times New Roman" w:cs="Times New Roman"/>
          <w:sz w:val="24"/>
          <w:szCs w:val="24"/>
          <w:lang w:val="ro-RO"/>
        </w:rPr>
        <w:t>ți</w:t>
      </w:r>
      <w:r w:rsidRPr="00270D5B">
        <w:rPr>
          <w:rFonts w:ascii="Times New Roman" w:hAnsi="Times New Roman" w:cs="Times New Roman"/>
          <w:sz w:val="24"/>
          <w:szCs w:val="24"/>
          <w:lang w:val="ro-RO"/>
        </w:rPr>
        <w:t>: lactoză (anhidră) 119 mg per comprimat, lactoză (mon</w:t>
      </w:r>
      <w:r w:rsidR="005B52AC" w:rsidRPr="00270D5B">
        <w:rPr>
          <w:rFonts w:ascii="Times New Roman" w:hAnsi="Times New Roman" w:cs="Times New Roman"/>
          <w:sz w:val="24"/>
          <w:szCs w:val="24"/>
          <w:lang w:val="ro-RO"/>
        </w:rPr>
        <w:t>o</w:t>
      </w:r>
      <w:r w:rsidRPr="00270D5B">
        <w:rPr>
          <w:rFonts w:ascii="Times New Roman" w:hAnsi="Times New Roman" w:cs="Times New Roman"/>
          <w:sz w:val="24"/>
          <w:szCs w:val="24"/>
          <w:lang w:val="ro-RO"/>
        </w:rPr>
        <w:t>hidrat) 5,4 mg per comprimat</w:t>
      </w:r>
      <w:r w:rsidR="00716BF3" w:rsidRPr="00270D5B">
        <w:rPr>
          <w:rFonts w:ascii="Times New Roman" w:hAnsi="Times New Roman" w:cs="Times New Roman"/>
          <w:sz w:val="24"/>
          <w:szCs w:val="24"/>
          <w:lang w:val="ro-RO"/>
        </w:rPr>
        <w:t>, Galben amurg FCT (E110).</w:t>
      </w:r>
    </w:p>
    <w:p w14:paraId="674F6CF7" w14:textId="77777777" w:rsidR="003B2784" w:rsidRPr="00270D5B" w:rsidRDefault="003B2784" w:rsidP="002B222E">
      <w:pPr>
        <w:spacing w:after="0"/>
        <w:jc w:val="both"/>
        <w:rPr>
          <w:rFonts w:ascii="Times New Roman" w:hAnsi="Times New Roman" w:cs="Times New Roman"/>
          <w:sz w:val="24"/>
          <w:szCs w:val="24"/>
          <w:lang w:val="ro-RO"/>
        </w:rPr>
      </w:pPr>
    </w:p>
    <w:p w14:paraId="68EB6E41" w14:textId="18712A70" w:rsidR="00AA7177" w:rsidRPr="00270D5B" w:rsidRDefault="00AA7177"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Keday XR 150 mg conține quetiapină </w:t>
      </w:r>
      <w:r w:rsidR="00047ADC" w:rsidRPr="00270D5B">
        <w:rPr>
          <w:rFonts w:ascii="Times New Roman" w:hAnsi="Times New Roman" w:cs="Times New Roman"/>
          <w:sz w:val="24"/>
          <w:szCs w:val="24"/>
          <w:lang w:val="ro-RO"/>
        </w:rPr>
        <w:t>15</w:t>
      </w:r>
      <w:r w:rsidRPr="00270D5B">
        <w:rPr>
          <w:rFonts w:ascii="Times New Roman" w:hAnsi="Times New Roman" w:cs="Times New Roman"/>
          <w:sz w:val="24"/>
          <w:szCs w:val="24"/>
          <w:lang w:val="ro-RO"/>
        </w:rPr>
        <w:t>0 mg (sub formă de fumarat de quetiapină).</w:t>
      </w:r>
    </w:p>
    <w:p w14:paraId="12532FB8" w14:textId="4C409544" w:rsidR="00AA7177" w:rsidRPr="00270D5B" w:rsidRDefault="00AA7177"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Excipient: lactoză (anhidră) </w:t>
      </w:r>
      <w:r w:rsidR="00047ADC" w:rsidRPr="00270D5B">
        <w:rPr>
          <w:rFonts w:ascii="Times New Roman" w:hAnsi="Times New Roman" w:cs="Times New Roman"/>
          <w:sz w:val="24"/>
          <w:szCs w:val="24"/>
          <w:lang w:val="ro-RO"/>
        </w:rPr>
        <w:t>71</w:t>
      </w:r>
      <w:r w:rsidRPr="00270D5B">
        <w:rPr>
          <w:rFonts w:ascii="Times New Roman" w:hAnsi="Times New Roman" w:cs="Times New Roman"/>
          <w:sz w:val="24"/>
          <w:szCs w:val="24"/>
          <w:lang w:val="ro-RO"/>
        </w:rPr>
        <w:t xml:space="preserve"> mg per comprimat</w:t>
      </w:r>
      <w:r w:rsidR="00047ADC" w:rsidRPr="00270D5B">
        <w:rPr>
          <w:rFonts w:ascii="Times New Roman" w:hAnsi="Times New Roman" w:cs="Times New Roman"/>
          <w:sz w:val="24"/>
          <w:szCs w:val="24"/>
          <w:lang w:val="ro-RO"/>
        </w:rPr>
        <w:t>.</w:t>
      </w:r>
    </w:p>
    <w:p w14:paraId="2323A63E" w14:textId="77777777" w:rsidR="00047ADC" w:rsidRPr="00270D5B" w:rsidRDefault="00047ADC" w:rsidP="002B222E">
      <w:pPr>
        <w:spacing w:after="0"/>
        <w:jc w:val="both"/>
        <w:rPr>
          <w:rFonts w:ascii="Times New Roman" w:hAnsi="Times New Roman" w:cs="Times New Roman"/>
          <w:sz w:val="24"/>
          <w:szCs w:val="24"/>
          <w:lang w:val="ro-RO"/>
        </w:rPr>
      </w:pPr>
    </w:p>
    <w:p w14:paraId="74BD05DC" w14:textId="3D80593F" w:rsidR="00047ADC" w:rsidRPr="00270D5B" w:rsidRDefault="00047AD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200 mg conține quetiapină 200 mg (sub formă de fumarat de quetiapină).</w:t>
      </w:r>
    </w:p>
    <w:p w14:paraId="1296AEFA" w14:textId="191AE4CF" w:rsidR="00047ADC" w:rsidRPr="00270D5B" w:rsidRDefault="00047AD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Excipient: lactoză (anhidră) 50 mg per comprimat.</w:t>
      </w:r>
    </w:p>
    <w:p w14:paraId="3A89E0A8" w14:textId="77777777" w:rsidR="003B2784" w:rsidRPr="00270D5B" w:rsidRDefault="003B2784" w:rsidP="002B222E">
      <w:pPr>
        <w:spacing w:after="0"/>
        <w:jc w:val="both"/>
        <w:rPr>
          <w:rFonts w:ascii="Times New Roman" w:hAnsi="Times New Roman" w:cs="Times New Roman"/>
          <w:sz w:val="24"/>
          <w:szCs w:val="24"/>
          <w:lang w:val="ro-RO"/>
        </w:rPr>
      </w:pPr>
    </w:p>
    <w:p w14:paraId="6DA40908" w14:textId="77777777" w:rsidR="00170B94" w:rsidRPr="00270D5B" w:rsidRDefault="00170B94"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Pentru lista tuturor excipienţilor, vezi pct. 6.1.</w:t>
      </w:r>
    </w:p>
    <w:p w14:paraId="48FB6933" w14:textId="77777777" w:rsidR="00170B94" w:rsidRDefault="00170B94" w:rsidP="002B222E">
      <w:pPr>
        <w:spacing w:after="0"/>
        <w:jc w:val="both"/>
        <w:rPr>
          <w:rFonts w:ascii="Times New Roman" w:hAnsi="Times New Roman" w:cs="Times New Roman"/>
          <w:sz w:val="24"/>
          <w:szCs w:val="24"/>
          <w:lang w:val="ro-RO"/>
        </w:rPr>
      </w:pPr>
    </w:p>
    <w:p w14:paraId="64267B62" w14:textId="77777777" w:rsidR="00FE15A1" w:rsidRPr="00270D5B" w:rsidRDefault="00FE15A1" w:rsidP="002B222E">
      <w:pPr>
        <w:spacing w:after="0"/>
        <w:jc w:val="both"/>
        <w:rPr>
          <w:rFonts w:ascii="Times New Roman" w:hAnsi="Times New Roman" w:cs="Times New Roman"/>
          <w:sz w:val="24"/>
          <w:szCs w:val="24"/>
          <w:lang w:val="ro-RO"/>
        </w:rPr>
      </w:pPr>
    </w:p>
    <w:p w14:paraId="6FFF9594"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3. FORMA FARMACEUTICĂ</w:t>
      </w:r>
    </w:p>
    <w:p w14:paraId="77AE1BF1" w14:textId="25DDB9A9" w:rsidR="00170B94" w:rsidRPr="00270D5B" w:rsidRDefault="00047AD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Comprimate cu eliberare prelungită</w:t>
      </w:r>
    </w:p>
    <w:p w14:paraId="141CE2B1" w14:textId="77777777" w:rsidR="00047ADC" w:rsidRPr="00270D5B" w:rsidRDefault="00047ADC" w:rsidP="002B222E">
      <w:pPr>
        <w:spacing w:after="0"/>
        <w:jc w:val="both"/>
        <w:rPr>
          <w:rFonts w:ascii="Times New Roman" w:hAnsi="Times New Roman" w:cs="Times New Roman"/>
          <w:sz w:val="24"/>
          <w:szCs w:val="24"/>
          <w:lang w:val="ro-RO"/>
        </w:rPr>
      </w:pPr>
    </w:p>
    <w:p w14:paraId="32D840C5" w14:textId="11D75D18" w:rsidR="003B2784" w:rsidRPr="00270D5B" w:rsidRDefault="00047ADC" w:rsidP="002B222E">
      <w:pPr>
        <w:spacing w:after="0"/>
        <w:jc w:val="both"/>
        <w:rPr>
          <w:rFonts w:ascii="Times New Roman" w:hAnsi="Times New Roman" w:cs="Times New Roman"/>
          <w:sz w:val="24"/>
          <w:szCs w:val="24"/>
          <w:lang w:val="ro-RO"/>
        </w:rPr>
      </w:pPr>
      <w:bookmarkStart w:id="1" w:name="_Hlk179377813"/>
      <w:r w:rsidRPr="00270D5B">
        <w:rPr>
          <w:rFonts w:ascii="Times New Roman" w:hAnsi="Times New Roman" w:cs="Times New Roman"/>
          <w:sz w:val="24"/>
          <w:szCs w:val="24"/>
          <w:lang w:val="ro-RO"/>
        </w:rPr>
        <w:t xml:space="preserve">Keday XR 50 mg comprimate cu eliberare prelungită </w:t>
      </w:r>
      <w:r w:rsidR="003B2784" w:rsidRPr="00270D5B">
        <w:rPr>
          <w:rFonts w:ascii="Times New Roman" w:hAnsi="Times New Roman" w:cs="Times New Roman"/>
          <w:sz w:val="24"/>
          <w:szCs w:val="24"/>
          <w:lang w:val="ro-RO"/>
        </w:rPr>
        <w:t xml:space="preserve">de culoare </w:t>
      </w:r>
      <w:r w:rsidRPr="00270D5B">
        <w:rPr>
          <w:rFonts w:ascii="Times New Roman" w:hAnsi="Times New Roman" w:cs="Times New Roman"/>
          <w:sz w:val="24"/>
          <w:szCs w:val="24"/>
          <w:lang w:val="ro-RO"/>
        </w:rPr>
        <w:t>roz</w:t>
      </w:r>
      <w:r w:rsidR="003B2784" w:rsidRPr="00270D5B">
        <w:rPr>
          <w:rFonts w:ascii="Times New Roman" w:hAnsi="Times New Roman" w:cs="Times New Roman"/>
          <w:sz w:val="24"/>
          <w:szCs w:val="24"/>
          <w:lang w:val="ro-RO"/>
        </w:rPr>
        <w:t xml:space="preserve">, </w:t>
      </w:r>
      <w:r w:rsidRPr="00270D5B">
        <w:rPr>
          <w:rFonts w:ascii="Times New Roman" w:hAnsi="Times New Roman" w:cs="Times New Roman"/>
          <w:sz w:val="24"/>
          <w:szCs w:val="24"/>
          <w:lang w:val="ro-RO"/>
        </w:rPr>
        <w:t>bi</w:t>
      </w:r>
      <w:r w:rsidR="003B2784" w:rsidRPr="00270D5B">
        <w:rPr>
          <w:rFonts w:ascii="Times New Roman" w:hAnsi="Times New Roman" w:cs="Times New Roman"/>
          <w:sz w:val="24"/>
          <w:szCs w:val="24"/>
          <w:lang w:val="ro-RO"/>
        </w:rPr>
        <w:t xml:space="preserve">convexe, </w:t>
      </w:r>
      <w:r w:rsidRPr="00270D5B">
        <w:rPr>
          <w:rFonts w:ascii="Times New Roman" w:hAnsi="Times New Roman" w:cs="Times New Roman"/>
          <w:sz w:val="24"/>
          <w:szCs w:val="24"/>
          <w:lang w:val="ro-RO"/>
        </w:rPr>
        <w:t>oblongi.</w:t>
      </w:r>
    </w:p>
    <w:p w14:paraId="3FEC3221" w14:textId="77777777" w:rsidR="00047ADC" w:rsidRPr="00270D5B" w:rsidRDefault="00047ADC" w:rsidP="002B222E">
      <w:pPr>
        <w:spacing w:after="0"/>
        <w:jc w:val="both"/>
        <w:rPr>
          <w:rFonts w:ascii="Times New Roman" w:hAnsi="Times New Roman" w:cs="Times New Roman"/>
          <w:b/>
          <w:bCs/>
          <w:sz w:val="24"/>
          <w:szCs w:val="24"/>
          <w:lang w:val="ro-RO"/>
        </w:rPr>
      </w:pPr>
    </w:p>
    <w:p w14:paraId="3334782B" w14:textId="60E7010C" w:rsidR="00047ADC" w:rsidRPr="00270D5B" w:rsidRDefault="00047AD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150 mg comprimate cu eliberare prelungită de culoare albă, biconvexe, oblongi.</w:t>
      </w:r>
    </w:p>
    <w:p w14:paraId="747E938C" w14:textId="77777777" w:rsidR="00047ADC" w:rsidRPr="00270D5B" w:rsidRDefault="00047ADC" w:rsidP="002B222E">
      <w:pPr>
        <w:spacing w:after="0"/>
        <w:jc w:val="both"/>
        <w:rPr>
          <w:rFonts w:ascii="Times New Roman" w:hAnsi="Times New Roman" w:cs="Times New Roman"/>
          <w:b/>
          <w:bCs/>
          <w:sz w:val="24"/>
          <w:szCs w:val="24"/>
          <w:lang w:val="ro-RO"/>
        </w:rPr>
      </w:pPr>
    </w:p>
    <w:p w14:paraId="08256DFC" w14:textId="08FA9677" w:rsidR="00047ADC" w:rsidRPr="00270D5B" w:rsidRDefault="00047AD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200 mg comprimate cu eliberare prelungită de culoare galbenă, biconvexe, oblongi.</w:t>
      </w:r>
    </w:p>
    <w:p w14:paraId="3A626057" w14:textId="77777777" w:rsidR="00047ADC" w:rsidRDefault="00047ADC" w:rsidP="002B222E">
      <w:pPr>
        <w:spacing w:after="0"/>
        <w:jc w:val="both"/>
        <w:rPr>
          <w:rFonts w:ascii="Times New Roman" w:hAnsi="Times New Roman" w:cs="Times New Roman"/>
          <w:b/>
          <w:bCs/>
          <w:sz w:val="24"/>
          <w:szCs w:val="24"/>
          <w:lang w:val="ro-RO"/>
        </w:rPr>
      </w:pPr>
    </w:p>
    <w:p w14:paraId="5F8D5E44" w14:textId="77777777" w:rsidR="00FE15A1" w:rsidRPr="00270D5B" w:rsidRDefault="00FE15A1" w:rsidP="002B222E">
      <w:pPr>
        <w:spacing w:after="0"/>
        <w:jc w:val="both"/>
        <w:rPr>
          <w:rFonts w:ascii="Times New Roman" w:hAnsi="Times New Roman" w:cs="Times New Roman"/>
          <w:b/>
          <w:bCs/>
          <w:sz w:val="24"/>
          <w:szCs w:val="24"/>
          <w:lang w:val="ro-RO"/>
        </w:rPr>
      </w:pPr>
    </w:p>
    <w:bookmarkEnd w:id="1"/>
    <w:p w14:paraId="1BC50D6B" w14:textId="6EF7FAEE" w:rsidR="00170B94"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 DATE CLINICE</w:t>
      </w:r>
    </w:p>
    <w:p w14:paraId="5C6502BC" w14:textId="77777777" w:rsidR="00FE15A1" w:rsidRPr="00270D5B" w:rsidRDefault="00FE15A1" w:rsidP="002B222E">
      <w:pPr>
        <w:spacing w:after="0"/>
        <w:jc w:val="both"/>
        <w:rPr>
          <w:rFonts w:ascii="Times New Roman" w:hAnsi="Times New Roman" w:cs="Times New Roman"/>
          <w:b/>
          <w:bCs/>
          <w:sz w:val="24"/>
          <w:szCs w:val="24"/>
          <w:lang w:val="ro-RO"/>
        </w:rPr>
      </w:pPr>
    </w:p>
    <w:p w14:paraId="71A093EA" w14:textId="77777777" w:rsidR="00170B94"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4.1 Indicaţii terapeutice</w:t>
      </w:r>
    </w:p>
    <w:p w14:paraId="201E3004" w14:textId="26D9B0C0" w:rsidR="005B0A7D" w:rsidRPr="00270D5B" w:rsidRDefault="005B0A7D"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este indicat în:</w:t>
      </w:r>
    </w:p>
    <w:p w14:paraId="4124CA0B" w14:textId="6E25F704" w:rsidR="005B0A7D" w:rsidRPr="00270D5B" w:rsidRDefault="005B0A7D" w:rsidP="002B222E">
      <w:pPr>
        <w:pStyle w:val="ListParagraph"/>
        <w:numPr>
          <w:ilvl w:val="0"/>
          <w:numId w:val="11"/>
        </w:num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tratamentul schizofreniei</w:t>
      </w:r>
    </w:p>
    <w:p w14:paraId="3B67D180" w14:textId="712E53FF" w:rsidR="005B0A7D" w:rsidRPr="00270D5B" w:rsidRDefault="005B0A7D" w:rsidP="002B222E">
      <w:pPr>
        <w:pStyle w:val="ListParagraph"/>
        <w:numPr>
          <w:ilvl w:val="0"/>
          <w:numId w:val="11"/>
        </w:num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tratamentul tulburării afective bipolare:</w:t>
      </w:r>
    </w:p>
    <w:p w14:paraId="19FFEE91" w14:textId="4B878F86" w:rsidR="005B0A7D" w:rsidRPr="00270D5B" w:rsidRDefault="005B0A7D" w:rsidP="002B222E">
      <w:pPr>
        <w:pStyle w:val="ListParagraph"/>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 </w:t>
      </w:r>
      <w:r w:rsidR="00FE15A1">
        <w:rPr>
          <w:rFonts w:ascii="Times New Roman" w:hAnsi="Times New Roman" w:cs="Times New Roman"/>
          <w:sz w:val="24"/>
          <w:szCs w:val="24"/>
          <w:lang w:val="ro-RO"/>
        </w:rPr>
        <w:t>p</w:t>
      </w:r>
      <w:r w:rsidRPr="00270D5B">
        <w:rPr>
          <w:rFonts w:ascii="Times New Roman" w:hAnsi="Times New Roman" w:cs="Times New Roman"/>
          <w:sz w:val="24"/>
          <w:szCs w:val="24"/>
          <w:lang w:val="ro-RO"/>
        </w:rPr>
        <w:t>entru tratamentul episoadelor maniacale moderate până la severe din tulburarea afectivă bipolară</w:t>
      </w:r>
    </w:p>
    <w:p w14:paraId="08B74FE9" w14:textId="2A99F394" w:rsidR="005B0A7D" w:rsidRPr="00270D5B" w:rsidRDefault="005B0A7D" w:rsidP="002B222E">
      <w:pPr>
        <w:pStyle w:val="ListParagraph"/>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 </w:t>
      </w:r>
      <w:r w:rsidR="00FE15A1">
        <w:rPr>
          <w:rFonts w:ascii="Times New Roman" w:hAnsi="Times New Roman" w:cs="Times New Roman"/>
          <w:sz w:val="24"/>
          <w:szCs w:val="24"/>
          <w:lang w:val="ro-RO"/>
        </w:rPr>
        <w:t>p</w:t>
      </w:r>
      <w:r w:rsidRPr="00270D5B">
        <w:rPr>
          <w:rFonts w:ascii="Times New Roman" w:hAnsi="Times New Roman" w:cs="Times New Roman"/>
          <w:sz w:val="24"/>
          <w:szCs w:val="24"/>
          <w:lang w:val="ro-RO"/>
        </w:rPr>
        <w:t>entru tratamentul episoadelor depresive majore din tulburarea afectivă bipolară</w:t>
      </w:r>
    </w:p>
    <w:p w14:paraId="28695C41" w14:textId="536E5A35" w:rsidR="005B0A7D" w:rsidRPr="00270D5B" w:rsidRDefault="005B0A7D" w:rsidP="002B222E">
      <w:pPr>
        <w:pStyle w:val="ListParagraph"/>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 </w:t>
      </w:r>
      <w:r w:rsidR="00FE15A1">
        <w:rPr>
          <w:rFonts w:ascii="Times New Roman" w:hAnsi="Times New Roman" w:cs="Times New Roman"/>
          <w:sz w:val="24"/>
          <w:szCs w:val="24"/>
          <w:lang w:val="ro-RO"/>
        </w:rPr>
        <w:t>p</w:t>
      </w:r>
      <w:r w:rsidRPr="00270D5B">
        <w:rPr>
          <w:rFonts w:ascii="Times New Roman" w:hAnsi="Times New Roman" w:cs="Times New Roman"/>
          <w:sz w:val="24"/>
          <w:szCs w:val="24"/>
          <w:lang w:val="ro-RO"/>
        </w:rPr>
        <w:t>entru tratamentul de prevenire a recurenţelor episoadelor maniacale sau depresive la pacienţii cu tulburare afectivă bipolară care au răspuns anterior la tratamentul cu quetiapină</w:t>
      </w:r>
    </w:p>
    <w:p w14:paraId="1AD50C38" w14:textId="77777777" w:rsidR="00FE15A1" w:rsidRDefault="002B222E" w:rsidP="002B222E">
      <w:pPr>
        <w:pStyle w:val="ListParagraph"/>
        <w:numPr>
          <w:ilvl w:val="0"/>
          <w:numId w:val="8"/>
        </w:num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tratamentul episoadelor depresive majore la pacienţi cu tulburare depresivă majoră (TDM)</w:t>
      </w:r>
      <w:r w:rsidR="00FE15A1">
        <w:rPr>
          <w:rFonts w:ascii="Times New Roman" w:hAnsi="Times New Roman" w:cs="Times New Roman"/>
          <w:sz w:val="24"/>
          <w:szCs w:val="24"/>
          <w:lang w:val="ro-RO"/>
        </w:rPr>
        <w:t>,</w:t>
      </w:r>
      <w:r w:rsidRPr="00270D5B">
        <w:rPr>
          <w:rFonts w:ascii="Times New Roman" w:hAnsi="Times New Roman" w:cs="Times New Roman"/>
          <w:sz w:val="24"/>
          <w:szCs w:val="24"/>
          <w:lang w:val="ro-RO"/>
        </w:rPr>
        <w:t xml:space="preserve"> ca terapie adjuvantă la pacienţii care au prezentat răspuns suboptim la monoterapia cu antidepresive (vezi pct. 5.1).</w:t>
      </w:r>
    </w:p>
    <w:p w14:paraId="07DBCD67" w14:textId="0FAA7EF4" w:rsidR="002B222E" w:rsidRPr="00270D5B" w:rsidRDefault="002B222E" w:rsidP="00FE15A1">
      <w:pPr>
        <w:pStyle w:val="ListParagraph"/>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 Înainte de iniţierea tratamentului, medicii trebuie să ia în considerare profilul de siguranţă al Keday XR (vezi pct.4.4).</w:t>
      </w:r>
    </w:p>
    <w:p w14:paraId="535C3667" w14:textId="77777777" w:rsidR="005B0A7D" w:rsidRPr="00270D5B" w:rsidRDefault="005B0A7D" w:rsidP="002B222E">
      <w:pPr>
        <w:spacing w:after="0"/>
        <w:jc w:val="both"/>
        <w:rPr>
          <w:rFonts w:ascii="Times New Roman" w:hAnsi="Times New Roman" w:cs="Times New Roman"/>
          <w:b/>
          <w:bCs/>
          <w:sz w:val="24"/>
          <w:szCs w:val="24"/>
          <w:lang w:val="ro-RO"/>
        </w:rPr>
      </w:pPr>
    </w:p>
    <w:p w14:paraId="0A24B4F3" w14:textId="61C811B5"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4.2 Doze şi mod de administrare</w:t>
      </w:r>
    </w:p>
    <w:p w14:paraId="4C7DBA28" w14:textId="77777777"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Pentru fiecare indicaţie există scheme de dozare diferite. Prin urmare, medicii trebuie să se asigure de faptul că pacienţii au primit informaţii clare cu privire la doza adecvată pentru afecţiunea lor.</w:t>
      </w:r>
    </w:p>
    <w:p w14:paraId="7F8EED28" w14:textId="77777777" w:rsidR="002B222E" w:rsidRPr="00270D5B" w:rsidRDefault="002B222E" w:rsidP="002B222E">
      <w:pPr>
        <w:spacing w:after="0"/>
        <w:jc w:val="both"/>
        <w:rPr>
          <w:rFonts w:ascii="Times New Roman" w:hAnsi="Times New Roman" w:cs="Times New Roman"/>
          <w:sz w:val="24"/>
          <w:szCs w:val="24"/>
          <w:lang w:val="ro-RO"/>
        </w:rPr>
      </w:pPr>
    </w:p>
    <w:p w14:paraId="516F249A" w14:textId="4E21BE50" w:rsidR="00AE78EF"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trebuie administrat o dată pe zi, la un interval de timp faţă de aportul alimentar. Comprimatele trebuie înghiţite întregi şi nu trebuie împărţite, mestecate sau sfărâmate.</w:t>
      </w:r>
    </w:p>
    <w:p w14:paraId="1362A669" w14:textId="77777777" w:rsidR="00F8668E" w:rsidRPr="00270D5B" w:rsidRDefault="00F8668E" w:rsidP="002B222E">
      <w:pPr>
        <w:spacing w:after="0"/>
        <w:jc w:val="both"/>
        <w:rPr>
          <w:rFonts w:ascii="Times New Roman" w:hAnsi="Times New Roman" w:cs="Times New Roman"/>
          <w:sz w:val="24"/>
          <w:szCs w:val="24"/>
          <w:lang w:val="ro-RO"/>
        </w:rPr>
      </w:pPr>
    </w:p>
    <w:p w14:paraId="1D5F6DD2" w14:textId="77777777" w:rsidR="002B222E" w:rsidRPr="00270D5B" w:rsidRDefault="002B222E" w:rsidP="002B222E">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Adulţi:</w:t>
      </w:r>
    </w:p>
    <w:p w14:paraId="7104DDDD" w14:textId="77777777" w:rsidR="002B222E" w:rsidRPr="00270D5B" w:rsidRDefault="002B222E"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Pentru tratamentul schizofreniei şi al episoadelor maniacale moderate până la severe din tulburarea afectivă bipolară</w:t>
      </w:r>
    </w:p>
    <w:p w14:paraId="431F4B98" w14:textId="0C25AA53"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trebuie administrat cu cel puţin o oră înainte de masă. Doza zilnică la iniţierea tratamentului este 300 mg în Ziua 1, 600 mg în Ziua 2. Doza zilnică recomandată este de 600 mg, dar în funcţie de răspunsul clinic doza poate fi crescută şi până la 800 mg zilnic. Doza zilnică poate fi ajustată în intervalul eficace de la 400 mg la 800 mg, în funcţie de răspunsul clinic şi de tolerabilitatea pacientului. În cazul tratamentului de întreţinere în schizofrenie, ajustarea dozelor nu este necesară.</w:t>
      </w:r>
    </w:p>
    <w:p w14:paraId="03D49141" w14:textId="77777777" w:rsidR="002B222E" w:rsidRPr="00270D5B" w:rsidRDefault="002B222E" w:rsidP="002B222E">
      <w:pPr>
        <w:spacing w:after="0"/>
        <w:jc w:val="both"/>
        <w:rPr>
          <w:rFonts w:ascii="Times New Roman" w:hAnsi="Times New Roman" w:cs="Times New Roman"/>
          <w:sz w:val="24"/>
          <w:szCs w:val="24"/>
          <w:lang w:val="ro-RO"/>
        </w:rPr>
      </w:pPr>
    </w:p>
    <w:p w14:paraId="23A22A75" w14:textId="77777777" w:rsidR="002B222E" w:rsidRPr="00270D5B" w:rsidRDefault="002B222E"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Pentru tratamentul episoadelor depresive majore din tulburarea afectivă bipolară</w:t>
      </w:r>
    </w:p>
    <w:p w14:paraId="5BB2ACFD" w14:textId="331DC4FE"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 XR trebuie administrat seara, la culcare. Doza zilnică pentru primele patru zile de tratament este de 50 mg (ziua 1), 100 mg (ziua 2), 200 mg (ziua 3) şi 300 mg (ziua 4). Doza zilnică recomandată este de 300 mg pe zi. În studiile clinice, nu s-a observat un beneficiu suplimetar la grupul tratat cu 600 mg, faţă de cel tratat cu 300 mg (vezi pct. 5.1). Anumiţi pacienţi pot beneficia însă de doza de 600 mg. Tratamentul cu doze mai mari de 300 mg trebuie iniţiat de către medici cu experienţă în tratamentul tulburării afective bipolare. La unii pacienţi, în cazul problemelor de tolerabilitate, studiile clinice au indicat faptul că se poate lua în considerare o reducere a dozei la minim 200 mg.</w:t>
      </w:r>
    </w:p>
    <w:p w14:paraId="42B1B056" w14:textId="77777777" w:rsidR="002B222E" w:rsidRPr="00270D5B" w:rsidRDefault="002B222E" w:rsidP="002B222E">
      <w:pPr>
        <w:spacing w:after="0"/>
        <w:jc w:val="both"/>
        <w:rPr>
          <w:rFonts w:ascii="Times New Roman" w:hAnsi="Times New Roman" w:cs="Times New Roman"/>
          <w:sz w:val="24"/>
          <w:szCs w:val="24"/>
          <w:lang w:val="ro-RO"/>
        </w:rPr>
      </w:pPr>
    </w:p>
    <w:p w14:paraId="09F64A61" w14:textId="77777777" w:rsidR="002B222E" w:rsidRPr="00270D5B" w:rsidRDefault="002B222E"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Pentru prevenirea recurenţelor în tulburarea afectivă bipolară</w:t>
      </w:r>
    </w:p>
    <w:p w14:paraId="4890247C" w14:textId="3CCD99F3"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Pentru prevenirea recurenţei episoadelor maniacale, mixte sau depresive în tulburarea afectivă bipolară, pacienţii care au răspuns la Keday XR ca tratament acut al tulburării afective bipolare- trebuie să continue tratamentul cu Keday XR în aceeaşi doză. Doza de Keday XR poate fi ajustată în funcţie de răspunsul clinic şi tolerabilitatea individuală în intervalul de doze 300 mg – 800 mg pe zi. Este important să fie utilizată cea mai mică doză eficace ca tratament de întreţinere.</w:t>
      </w:r>
    </w:p>
    <w:p w14:paraId="5294AFB1" w14:textId="77777777" w:rsidR="002B222E" w:rsidRPr="00270D5B" w:rsidRDefault="002B222E" w:rsidP="002B222E">
      <w:pPr>
        <w:spacing w:after="0"/>
        <w:jc w:val="both"/>
        <w:rPr>
          <w:rFonts w:ascii="Times New Roman" w:hAnsi="Times New Roman" w:cs="Times New Roman"/>
          <w:sz w:val="24"/>
          <w:szCs w:val="24"/>
          <w:lang w:val="ro-RO"/>
        </w:rPr>
      </w:pPr>
    </w:p>
    <w:p w14:paraId="5CD47A31" w14:textId="3243154B" w:rsidR="002B222E" w:rsidRPr="00270D5B" w:rsidRDefault="002B222E"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Ca terapie adjuvantă la tratamentul episoadelor depresive majore în TDM:</w:t>
      </w:r>
    </w:p>
    <w:p w14:paraId="1FABEA2B" w14:textId="7BB03736"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Keday XR trebuie administrat seara, înainte de culcare. Doza zilnică la începutul tratamentului este de 50 mg în zilele 1 şi 2 şi de 150 mg în zilele 3 şi 4. Efectul antidepresiv a fost observat la </w:t>
      </w:r>
      <w:r w:rsidRPr="00270D5B">
        <w:rPr>
          <w:rFonts w:ascii="Times New Roman" w:hAnsi="Times New Roman" w:cs="Times New Roman"/>
          <w:sz w:val="24"/>
          <w:szCs w:val="24"/>
          <w:lang w:val="ro-RO"/>
        </w:rPr>
        <w:lastRenderedPageBreak/>
        <w:t>doze de 150 şi 300 mg pe zi în studiile cu durată scurtă în cadrul cărora s-a utilizat terapie adăugată (cu amitriptilină, bupropion, citalopram, duloxetin, escitalopram, fluoxetină, paroxetină, sertralină şi venlafaxină – vezi pct. 5.1) şi la doza de 50 mg pe zi în studiile pe termen scurt în cadrul cărora s-a utilizat monoterapie. Există un risc crescut de evenimente adverse la doze mai mari. Ca urmare, medicii trebuie să se asigure că pentru tratament este utilizată cea mai mică doză eficace, începând cu 50 mg pe zi. Necesitatea de a creşte doza de la 150 la 300 mg pe zi trebuie să se facă evaluând fiecare pacient în parte.</w:t>
      </w:r>
    </w:p>
    <w:p w14:paraId="2AF75C75" w14:textId="77777777" w:rsidR="002B222E" w:rsidRPr="00270D5B" w:rsidRDefault="002B222E" w:rsidP="002B222E">
      <w:pPr>
        <w:spacing w:after="0"/>
        <w:jc w:val="both"/>
        <w:rPr>
          <w:rFonts w:ascii="Times New Roman" w:hAnsi="Times New Roman" w:cs="Times New Roman"/>
          <w:sz w:val="24"/>
          <w:szCs w:val="24"/>
          <w:lang w:val="ro-RO"/>
        </w:rPr>
      </w:pPr>
    </w:p>
    <w:p w14:paraId="57AF899E" w14:textId="7BF06349" w:rsidR="002B222E" w:rsidRPr="00270D5B" w:rsidRDefault="002B222E"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Trecerea de la tratamentul cu quetiapină comprimate cu eliberare imediată</w:t>
      </w:r>
    </w:p>
    <w:p w14:paraId="043F53BC" w14:textId="3ABFD288"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Pentru o administrare mai comodă, pacienţii care urmează un tratament cu quetiapină comprimate cu eliberare imediată în mai multe prize zilnice, pot trece la tratamentul cu Keday XR utilizând o doză echivalentă cu doza zilnică totală de quetiapină din quetiapină cu eliberare imediată, care să fie administrată o singură dată pe zi. Pot fi necesare ajustări individuale ale dozelor.</w:t>
      </w:r>
    </w:p>
    <w:p w14:paraId="332B4713" w14:textId="77777777" w:rsidR="002B222E" w:rsidRPr="00270D5B" w:rsidRDefault="002B222E" w:rsidP="002B222E">
      <w:pPr>
        <w:spacing w:after="0"/>
        <w:jc w:val="both"/>
        <w:rPr>
          <w:rFonts w:ascii="Times New Roman" w:hAnsi="Times New Roman" w:cs="Times New Roman"/>
          <w:sz w:val="24"/>
          <w:szCs w:val="24"/>
          <w:lang w:val="ro-RO"/>
        </w:rPr>
      </w:pPr>
    </w:p>
    <w:p w14:paraId="0C7C04E7" w14:textId="7ECA54FC" w:rsidR="002B222E" w:rsidRPr="00270D5B" w:rsidRDefault="002B222E"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Vârstnici</w:t>
      </w:r>
    </w:p>
    <w:p w14:paraId="0CD4CED7" w14:textId="667AC6DF"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Similar altor antipsihotice şi antidepresive, Keday XR trebuie administrat cu prudenţă la vârstnici, mai ales în timpul perioadei de iniţiere a tratamentului. Ritmul de creştere treptată a dozelor de Keday XR poate fi încetinit, iar doza terapeutică poate fi mai mică decât cea utilizată în cazul pacienţilor mai tineri. Clearance-ul plasmatic mediu al quetiapinei a fost mai mic cu 30% până la 50% în cazul pacienţilor vârstnici, în comparaţie cu pacienţii mai tineri. Tratamentul la pacienţii vârstnici trebuie iniţiat cu o doză de 50 mg pe zi. Doza poate fi crescută cu câte 50 mg pe zi până la o doză eficace, în funcţie de răspunsul clinic şi de tolerabilitatea pacientului.</w:t>
      </w:r>
    </w:p>
    <w:p w14:paraId="787D0CC4" w14:textId="77777777" w:rsidR="002E6285" w:rsidRPr="00270D5B" w:rsidRDefault="002E6285" w:rsidP="002B222E">
      <w:pPr>
        <w:spacing w:after="0"/>
        <w:jc w:val="both"/>
        <w:rPr>
          <w:rFonts w:ascii="Times New Roman" w:hAnsi="Times New Roman" w:cs="Times New Roman"/>
          <w:sz w:val="24"/>
          <w:szCs w:val="24"/>
          <w:lang w:val="ro-RO"/>
        </w:rPr>
      </w:pPr>
    </w:p>
    <w:p w14:paraId="5B0FB511" w14:textId="5A227F5E"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La pacienţii vârstnici cu episoade depresive majore în cadrul TDM, tratamentul trebuie iniţiat cu doza de 50 mg pe zi în zilele 1-3, crescând dozele la 100 mg pe zi în ziua 4 şi la 150 mg pe zi în ziua 8. Trebuie utilizată cea mai mică doză eficace, începând cu 50 mg pe zi. În funcţie de evaluarea fiecărui pacient în parte, dacă se impune creşterea dozei la 300 mg pe zi, aceasta nu trebuie efectuată înainte de ziua 22 a tratamentului.</w:t>
      </w:r>
    </w:p>
    <w:p w14:paraId="21FBE9AC" w14:textId="77777777" w:rsidR="002E6285" w:rsidRPr="00270D5B" w:rsidRDefault="002E6285" w:rsidP="002B222E">
      <w:pPr>
        <w:spacing w:after="0"/>
        <w:jc w:val="both"/>
        <w:rPr>
          <w:rFonts w:ascii="Times New Roman" w:hAnsi="Times New Roman" w:cs="Times New Roman"/>
          <w:sz w:val="24"/>
          <w:szCs w:val="24"/>
          <w:lang w:val="ro-RO"/>
        </w:rPr>
      </w:pPr>
    </w:p>
    <w:p w14:paraId="04A23867" w14:textId="705FB050"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Siguranţa şi eficacitatea nu au fost evaluate la pacienţi cu vârstă peste 65 ani cu episoade depresive din cadrul tulburării afective bipolare.</w:t>
      </w:r>
    </w:p>
    <w:p w14:paraId="2F581062" w14:textId="77777777" w:rsidR="002E6285" w:rsidRPr="00270D5B" w:rsidRDefault="002E6285" w:rsidP="002B222E">
      <w:pPr>
        <w:spacing w:after="0"/>
        <w:jc w:val="both"/>
        <w:rPr>
          <w:rFonts w:ascii="Times New Roman" w:hAnsi="Times New Roman" w:cs="Times New Roman"/>
          <w:sz w:val="24"/>
          <w:szCs w:val="24"/>
          <w:lang w:val="ro-RO"/>
        </w:rPr>
      </w:pPr>
    </w:p>
    <w:p w14:paraId="5E5A781F" w14:textId="584021A8" w:rsidR="002B222E" w:rsidRPr="00270D5B" w:rsidRDefault="002B222E" w:rsidP="002B222E">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Copii şi adolescenţi</w:t>
      </w:r>
    </w:p>
    <w:p w14:paraId="4FBF19A6" w14:textId="4FF4F2D1" w:rsidR="002B222E" w:rsidRPr="00270D5B" w:rsidRDefault="002E6285"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Keday</w:t>
      </w:r>
      <w:r w:rsidR="002B222E" w:rsidRPr="00270D5B">
        <w:rPr>
          <w:rFonts w:ascii="Times New Roman" w:hAnsi="Times New Roman" w:cs="Times New Roman"/>
          <w:sz w:val="24"/>
          <w:szCs w:val="24"/>
          <w:lang w:val="ro-RO"/>
        </w:rPr>
        <w:t xml:space="preserve"> XR nu este indicat la copii şi adolescenţi cu vârsta sub 18 ani, din cauza lipsei datelor care să susţină administrarea la această grupă de varstă. Datele disponibile din studiile placebo- controlate sunt descrise la pct. 4.4, 4.8, 5.1 şi 5.2.</w:t>
      </w:r>
    </w:p>
    <w:p w14:paraId="35CA43E9" w14:textId="77777777" w:rsidR="002E6285" w:rsidRPr="00270D5B" w:rsidRDefault="002E6285" w:rsidP="002B222E">
      <w:pPr>
        <w:spacing w:after="0"/>
        <w:jc w:val="both"/>
        <w:rPr>
          <w:rFonts w:ascii="Times New Roman" w:hAnsi="Times New Roman" w:cs="Times New Roman"/>
          <w:sz w:val="24"/>
          <w:szCs w:val="24"/>
          <w:lang w:val="ro-RO"/>
        </w:rPr>
      </w:pPr>
    </w:p>
    <w:p w14:paraId="7147CDB8" w14:textId="03141DDC" w:rsidR="002B222E" w:rsidRPr="00270D5B" w:rsidRDefault="002B222E" w:rsidP="002B222E">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Insuficienţa renală:</w:t>
      </w:r>
    </w:p>
    <w:p w14:paraId="6AABF291" w14:textId="77777777" w:rsidR="002B222E" w:rsidRPr="00270D5B"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Nu este necesară ajustarea dozelor în cazul pacienţilor cu insuficienţă renală.</w:t>
      </w:r>
    </w:p>
    <w:p w14:paraId="1B50B555" w14:textId="77777777" w:rsidR="002E6285" w:rsidRPr="00270D5B" w:rsidRDefault="002E6285" w:rsidP="002B222E">
      <w:pPr>
        <w:spacing w:after="0"/>
        <w:jc w:val="both"/>
        <w:rPr>
          <w:rFonts w:ascii="Times New Roman" w:hAnsi="Times New Roman" w:cs="Times New Roman"/>
          <w:sz w:val="24"/>
          <w:szCs w:val="24"/>
          <w:lang w:val="ro-RO"/>
        </w:rPr>
      </w:pPr>
    </w:p>
    <w:p w14:paraId="6185A613" w14:textId="2B9C03F6" w:rsidR="002B222E" w:rsidRPr="00270D5B" w:rsidRDefault="002B222E" w:rsidP="002B222E">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Insuficienţa hepatică</w:t>
      </w:r>
    </w:p>
    <w:p w14:paraId="7C30315F" w14:textId="77777777" w:rsidR="002E6285" w:rsidRDefault="002B222E"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Quetiapina este metabolizată în cantitate mare la nivel hepatic. De aceea, </w:t>
      </w:r>
      <w:r w:rsidR="002E6285" w:rsidRPr="00270D5B">
        <w:rPr>
          <w:rFonts w:ascii="Times New Roman" w:hAnsi="Times New Roman" w:cs="Times New Roman"/>
          <w:sz w:val="24"/>
          <w:szCs w:val="24"/>
          <w:lang w:val="ro-RO"/>
        </w:rPr>
        <w:t xml:space="preserve">Keday </w:t>
      </w:r>
      <w:r w:rsidRPr="00270D5B">
        <w:rPr>
          <w:rFonts w:ascii="Times New Roman" w:hAnsi="Times New Roman" w:cs="Times New Roman"/>
          <w:sz w:val="24"/>
          <w:szCs w:val="24"/>
          <w:lang w:val="ro-RO"/>
        </w:rPr>
        <w:t xml:space="preserve">XR trebuie utilizat cu prudenţă în cazul pacienţilor cu insuficienţă hepatică cunoscută, în special în timpul perioadei </w:t>
      </w:r>
      <w:r w:rsidRPr="00270D5B">
        <w:rPr>
          <w:rFonts w:ascii="Times New Roman" w:hAnsi="Times New Roman" w:cs="Times New Roman"/>
          <w:sz w:val="24"/>
          <w:szCs w:val="24"/>
          <w:lang w:val="ro-RO"/>
        </w:rPr>
        <w:lastRenderedPageBreak/>
        <w:t>de iniţiere a tratamentului. Pacienţii cu insuficienţă hepatică trebuie să înceapă tratamentul cu 50 mg pe zi. Doza poate fi crescută cu câte 50 mg pe zi până la o doză eficace, în funcţie de răspunsul clinic şi de tolerabilitatea pacientului.</w:t>
      </w:r>
    </w:p>
    <w:p w14:paraId="61A7395E" w14:textId="77777777" w:rsidR="00FE15A1" w:rsidRPr="00270D5B" w:rsidRDefault="00FE15A1" w:rsidP="002B222E">
      <w:pPr>
        <w:spacing w:after="0"/>
        <w:jc w:val="both"/>
        <w:rPr>
          <w:rFonts w:ascii="Times New Roman" w:hAnsi="Times New Roman" w:cs="Times New Roman"/>
          <w:sz w:val="24"/>
          <w:szCs w:val="24"/>
          <w:lang w:val="ro-RO"/>
        </w:rPr>
      </w:pPr>
    </w:p>
    <w:p w14:paraId="72F700E2" w14:textId="105DDE92"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4.3 Contraindicaţii</w:t>
      </w:r>
    </w:p>
    <w:p w14:paraId="7FDE2C39" w14:textId="77777777" w:rsidR="002E6285" w:rsidRPr="00270D5B" w:rsidRDefault="002E6285" w:rsidP="002E6285">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Hipersensibilitate la substanţa activă sau la oricare dintre excipienţi.</w:t>
      </w:r>
    </w:p>
    <w:p w14:paraId="7675AE6C" w14:textId="77777777" w:rsidR="002E6285" w:rsidRPr="00270D5B" w:rsidRDefault="002E6285" w:rsidP="002E6285">
      <w:pPr>
        <w:spacing w:after="0"/>
        <w:jc w:val="both"/>
        <w:rPr>
          <w:rFonts w:ascii="Times New Roman" w:hAnsi="Times New Roman" w:cs="Times New Roman"/>
          <w:sz w:val="24"/>
          <w:szCs w:val="24"/>
          <w:lang w:val="ro-RO"/>
        </w:rPr>
      </w:pPr>
    </w:p>
    <w:p w14:paraId="5240D36E" w14:textId="095393BA" w:rsidR="00F8668E" w:rsidRPr="00270D5B" w:rsidRDefault="002E6285" w:rsidP="002E6285">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Administrarea concomitentă de inhibitori ai izoenzimei CYP 3A4 a citocromului P450 cum ar fi inhibitorii proteazei-HIV, antifungice cu structură azolică, eritromicină, claritromicină şi nefazodonă, este contraindicată (vezi pct. 4.5).</w:t>
      </w:r>
    </w:p>
    <w:p w14:paraId="30E8F9DC" w14:textId="77777777" w:rsidR="002E6285" w:rsidRPr="00270D5B" w:rsidRDefault="002E6285" w:rsidP="002E6285">
      <w:pPr>
        <w:spacing w:after="0"/>
        <w:jc w:val="both"/>
        <w:rPr>
          <w:rFonts w:ascii="Times New Roman" w:hAnsi="Times New Roman" w:cs="Times New Roman"/>
          <w:sz w:val="24"/>
          <w:szCs w:val="24"/>
          <w:lang w:val="ro-RO"/>
        </w:rPr>
      </w:pPr>
    </w:p>
    <w:p w14:paraId="0EA88531"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4.4 Atenţionări şi precauţii speciale pentru utilizare</w:t>
      </w:r>
    </w:p>
    <w:p w14:paraId="7524E806" w14:textId="2D288892" w:rsidR="00C8579C" w:rsidRPr="00270D5B" w:rsidRDefault="002E6285"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Întrucât Keday XR are mai multe indicaţii, profilul de siguranţă trebuie luat în considerare ţinând cont de diagnosticul fiecărui pacient în parte şi de doza care se administrează.</w:t>
      </w:r>
    </w:p>
    <w:p w14:paraId="000CD2DF" w14:textId="77777777" w:rsidR="002E6285" w:rsidRPr="00270D5B" w:rsidRDefault="002E6285" w:rsidP="002B222E">
      <w:pPr>
        <w:spacing w:after="0"/>
        <w:jc w:val="both"/>
        <w:rPr>
          <w:rFonts w:ascii="Times New Roman" w:hAnsi="Times New Roman" w:cs="Times New Roman"/>
          <w:sz w:val="24"/>
          <w:szCs w:val="24"/>
          <w:lang w:val="ro-RO"/>
        </w:rPr>
      </w:pPr>
    </w:p>
    <w:p w14:paraId="77AE62E4" w14:textId="631D053C" w:rsidR="002E6285" w:rsidRPr="00270D5B" w:rsidRDefault="00EB7CA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Eficacitatea si siguranţa tratamentului pe termen lung la pacienţii cu TDM nu au fost evaluate în cazul terapiei adjuvante, însă acestea au fost evaluate în cazul monoterapiei la pacienţii adulţi (vezi pct. 5.1)</w:t>
      </w:r>
    </w:p>
    <w:p w14:paraId="029D5305" w14:textId="77777777" w:rsidR="002E6285" w:rsidRPr="00270D5B" w:rsidRDefault="002E6285" w:rsidP="002B222E">
      <w:pPr>
        <w:spacing w:after="0"/>
        <w:jc w:val="both"/>
        <w:rPr>
          <w:rFonts w:ascii="Times New Roman" w:hAnsi="Times New Roman" w:cs="Times New Roman"/>
          <w:sz w:val="24"/>
          <w:szCs w:val="24"/>
          <w:lang w:val="ro-RO"/>
        </w:rPr>
      </w:pPr>
    </w:p>
    <w:p w14:paraId="5ADCCC70" w14:textId="77777777" w:rsidR="00EB7CAC" w:rsidRPr="00270D5B" w:rsidRDefault="00EB7CAC" w:rsidP="00EB7CAC">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Copii şi adolescenţi</w:t>
      </w:r>
    </w:p>
    <w:p w14:paraId="639BC15F" w14:textId="77777777" w:rsidR="00EB7CAC" w:rsidRPr="00270D5B" w:rsidRDefault="00EB7CAC" w:rsidP="00EB7CA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Quetiapina nu este indicată la copii şi adolescenţi cu vârsta sub 18 ani, din cauza lipsei datelor care să susţină administrarea la această grupă de vârstă. Studiile clinice cu quetiapină au arătat că, în plus faţă de profilul de siguranţă identificat la adulţi (vezi pct. 4.8), anumite evenimente adverse apar mai frecvent la copii şi adolescenţi, comparativ cu adulţii (creşterea apetitului, creşteri ale concentraţiei de prolactină serică, vomă, rinită şi sincopă) sau pot avea implicaţii diferite la copii şi adolescenţi (simptome extrapiramidale şi iritabilitate) şi au identificat o reacţie adversă care nu a fost observată anterior la adulţi (creşteri ale tensiunii arteriale). La copii şi adolescenţi au fost observate, de asemenea, modificări ale testelor funcţiei tiroidiene.</w:t>
      </w:r>
    </w:p>
    <w:p w14:paraId="19FE3C6D" w14:textId="77777777" w:rsidR="00967760" w:rsidRPr="00270D5B" w:rsidRDefault="00967760" w:rsidP="00EB7CAC">
      <w:pPr>
        <w:spacing w:after="0"/>
        <w:jc w:val="both"/>
        <w:rPr>
          <w:rFonts w:ascii="Times New Roman" w:hAnsi="Times New Roman" w:cs="Times New Roman"/>
          <w:sz w:val="24"/>
          <w:szCs w:val="24"/>
          <w:lang w:val="ro-RO"/>
        </w:rPr>
      </w:pPr>
    </w:p>
    <w:p w14:paraId="69564DCC" w14:textId="097CF636" w:rsidR="00EB7CAC" w:rsidRPr="00270D5B" w:rsidRDefault="00EB7CAC" w:rsidP="00EB7CA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De asemenea, implicaţiile pe termen lung privind siguranţa administrării tratamentului asupra creşterii şi maturizării nu au fost studiate pe o perioadă mai lungă de 26 de săptămâni. Implicaţiile pe termen lung asupra dezvoltării cognitive şi comportamentale nu sunt cunoscute.</w:t>
      </w:r>
    </w:p>
    <w:p w14:paraId="26984083" w14:textId="77777777" w:rsidR="00967760" w:rsidRPr="00270D5B" w:rsidRDefault="00967760" w:rsidP="00EB7CAC">
      <w:pPr>
        <w:spacing w:after="0"/>
        <w:jc w:val="both"/>
        <w:rPr>
          <w:rFonts w:ascii="Times New Roman" w:hAnsi="Times New Roman" w:cs="Times New Roman"/>
          <w:sz w:val="24"/>
          <w:szCs w:val="24"/>
          <w:lang w:val="ro-RO"/>
        </w:rPr>
      </w:pPr>
    </w:p>
    <w:p w14:paraId="35E2093A" w14:textId="4960EE06" w:rsidR="00EB7CAC" w:rsidRPr="00270D5B" w:rsidRDefault="00EB7CAC" w:rsidP="00EB7CA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studiile clinice placebo-controlate la copii şi adolescenţi, quetiapina a fost asociată cu o creştere a incidenţei simptomelor extrapiramidale (SEP) la pacienţii trataţi pentru schizofrenie, manie bipolară şi depresie bipolară, comparativ cu placebo (vezi pct. 4.8).</w:t>
      </w:r>
    </w:p>
    <w:p w14:paraId="0CB2D1B9" w14:textId="77777777" w:rsidR="002E6285" w:rsidRPr="00270D5B" w:rsidRDefault="002E6285" w:rsidP="002B222E">
      <w:pPr>
        <w:spacing w:after="0"/>
        <w:jc w:val="both"/>
        <w:rPr>
          <w:rFonts w:ascii="Times New Roman" w:hAnsi="Times New Roman" w:cs="Times New Roman"/>
          <w:sz w:val="24"/>
          <w:szCs w:val="24"/>
          <w:lang w:val="ro-RO"/>
        </w:rPr>
      </w:pPr>
    </w:p>
    <w:p w14:paraId="6ED1AE85" w14:textId="77777777" w:rsidR="00967760" w:rsidRPr="00270D5B" w:rsidRDefault="00967760" w:rsidP="00967760">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Suicid/ideaţia suicidară sau agravarea stării clinice:</w:t>
      </w:r>
    </w:p>
    <w:p w14:paraId="7D21123C" w14:textId="77777777"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Depresia este asociată cu o creştere a ideaţiei suicidare a riscului de autovătămare şi a riscului de suicid. Riscul de suicid persistă până la apariţia remisiei semnificative. Întrucât îmbunătăţirea stării poate să nu apară în primele săptămâni de tratament sau mai târziu, pacienţii trebuie monitorizaţi atent, până când aceasta apare. Experienţa clinică generală arată că riscul de suicid poate creşte în stadiile incipiente ale recuperării.</w:t>
      </w:r>
    </w:p>
    <w:p w14:paraId="4B86B28F" w14:textId="77777777" w:rsidR="00967760" w:rsidRPr="00270D5B" w:rsidRDefault="00967760" w:rsidP="00967760">
      <w:pPr>
        <w:spacing w:after="0"/>
        <w:jc w:val="both"/>
        <w:rPr>
          <w:rFonts w:ascii="Times New Roman" w:hAnsi="Times New Roman" w:cs="Times New Roman"/>
          <w:sz w:val="24"/>
          <w:szCs w:val="24"/>
          <w:lang w:val="ro-RO"/>
        </w:rPr>
      </w:pPr>
    </w:p>
    <w:p w14:paraId="03AF9C6E" w14:textId="49F15CEC" w:rsidR="00EB7CAC"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plus, medicii trebuie să ia în considerare riscul potenţial de evenimente legate de suicid după întreruperea bruscă a tratamentului cu quetiapină, din cauza factorilor de risc cunoscuţi pentru afecţiunea tratată.</w:t>
      </w:r>
    </w:p>
    <w:p w14:paraId="7FB2A608" w14:textId="77777777"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Alte afecţiuni psihice pentru care se prescrie quetiapina se pot asocia, de asemenea, cu risc crescut de evenimente legate de suicid. În plus, aceste afecţiuni pot reprezenta comorbidităţi ale episoadelor depresive majore. Ca urmare, trebuie avute în vedere aceleaşi precauţii ca în cazul tratării pacienţilor cu episoade depresive majore când se tratează pacienţi cu alte afecţiuni psihice. </w:t>
      </w:r>
    </w:p>
    <w:p w14:paraId="5AB6F6A6" w14:textId="77777777" w:rsidR="00967760" w:rsidRPr="00270D5B" w:rsidRDefault="00967760" w:rsidP="00967760">
      <w:pPr>
        <w:spacing w:after="0"/>
        <w:jc w:val="both"/>
        <w:rPr>
          <w:rFonts w:ascii="Times New Roman" w:hAnsi="Times New Roman" w:cs="Times New Roman"/>
          <w:sz w:val="24"/>
          <w:szCs w:val="24"/>
          <w:lang w:val="ro-RO"/>
        </w:rPr>
      </w:pPr>
    </w:p>
    <w:p w14:paraId="0398842F" w14:textId="537215B1"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Pacienţii care prezintă în antecedente evenimente legate de suicid sau cei care prezintă grad semnificativ de ideaţie suicidară înainte de începerea tratamentului au un risc mai mare de gânduri suicidare sau de tentative de suicid, şi trebuie monitorizaţi atent în timpul tratamentului. O meta analiză a studiilor clinice placebo controlate, efectuate cu medicamente antidepresive la pacienţii adulţi cu tulburări psihice a evidenţiat un risc crescut de comportament suicidar în cazul antidepresivelor, comparativ cu placebo, la pacienţi cu vârsta sub 25 de ani. </w:t>
      </w:r>
    </w:p>
    <w:p w14:paraId="6AB61D72" w14:textId="77777777" w:rsidR="00967760" w:rsidRPr="00270D5B" w:rsidRDefault="00967760" w:rsidP="00967760">
      <w:pPr>
        <w:spacing w:after="0"/>
        <w:jc w:val="both"/>
        <w:rPr>
          <w:rFonts w:ascii="Times New Roman" w:hAnsi="Times New Roman" w:cs="Times New Roman"/>
          <w:sz w:val="24"/>
          <w:szCs w:val="24"/>
          <w:lang w:val="ro-RO"/>
        </w:rPr>
      </w:pPr>
    </w:p>
    <w:p w14:paraId="3875907E" w14:textId="382125DB"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Supravegherea atentă a pacienţilor, şi îndeosebi a celor cu risc crescut, trebuie să însoţească tratamentul medicamentos, în special în fazele iniţiale ale tratamentului şi după modificarea dozelor. Pacienţii (şi persoanele care îngrijesc pacienţii) trebuie avertizaţi în legătură cu necesitatea de a urmări orice agravare a stării clinice, apariţia comportamentului suicidar sau a gândurilor suicidare şi orice alte modificări neobişnuite ale comportamentului şi îndrumaţi să se adreseze de urgenţă unui medic dacă apar aceste simptome.</w:t>
      </w:r>
    </w:p>
    <w:p w14:paraId="388B6BB0" w14:textId="77777777" w:rsidR="00EB7CAC" w:rsidRPr="00270D5B" w:rsidRDefault="00EB7CAC" w:rsidP="002B222E">
      <w:pPr>
        <w:spacing w:after="0"/>
        <w:jc w:val="both"/>
        <w:rPr>
          <w:rFonts w:ascii="Times New Roman" w:hAnsi="Times New Roman" w:cs="Times New Roman"/>
          <w:sz w:val="24"/>
          <w:szCs w:val="24"/>
          <w:lang w:val="ro-RO"/>
        </w:rPr>
      </w:pPr>
    </w:p>
    <w:p w14:paraId="72E37823" w14:textId="3D61944B" w:rsidR="00EB7CAC" w:rsidRPr="00270D5B" w:rsidRDefault="00967760"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studiile clinice de durată scurtă, controlate placebo, efectuate la pacienţi cu episoade depresive majore în cadrul tulburării bipolare, a fost observat un risc crescut de evenimente legate de suicid la pacienţii adulţi tineri (cu vârsta sub 25 de ani) care au fost trataţi cu quetiapină, comparativ cu cei din grupul la care s-a administrat placebo (3% faţă de 0%). În studiile clinice efectuate la pacienţi cu TDM, incidenţa evenimentelor legate de suicid observate la pacienţii adulţi tineri (cu vârsta sub 25 de ani) a fost de 2,1% (3/144) pentru quetiapină şi de 1,3% (1/75) pentru placebo.</w:t>
      </w:r>
    </w:p>
    <w:p w14:paraId="527DA3CF" w14:textId="77777777" w:rsidR="00EB7CAC" w:rsidRPr="00270D5B" w:rsidRDefault="00EB7CAC" w:rsidP="002B222E">
      <w:pPr>
        <w:spacing w:after="0"/>
        <w:jc w:val="both"/>
        <w:rPr>
          <w:rFonts w:ascii="Times New Roman" w:hAnsi="Times New Roman" w:cs="Times New Roman"/>
          <w:sz w:val="24"/>
          <w:szCs w:val="24"/>
          <w:lang w:val="ro-RO"/>
        </w:rPr>
      </w:pPr>
    </w:p>
    <w:p w14:paraId="00A419E5" w14:textId="77777777" w:rsidR="00967760" w:rsidRPr="00270D5B" w:rsidRDefault="00967760" w:rsidP="00967760">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Risc metabolic</w:t>
      </w:r>
    </w:p>
    <w:p w14:paraId="21D1DB43" w14:textId="32820F7A" w:rsidR="00EB7CAC"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Ţinând cont de riscul agravării profilului metabolic, observat la pacienţii din studiile clinice, parametrii metabolici cum sunt greutatea, glicemia (vezi ,,Hiperglicemie”) şi lipidemia, trebuie evaluaţi la iniţierea tratamentului, iar modificările acestor parametri trebuie controlate regulat în cursul tratamentului. Modificările acestor parametri trebuie tratate corespunzator, în funcţie de simtomatologia clinică (vezi pct. 4.8).</w:t>
      </w:r>
    </w:p>
    <w:p w14:paraId="731ABD81" w14:textId="77777777" w:rsidR="00967760" w:rsidRPr="00270D5B" w:rsidRDefault="00967760" w:rsidP="00967760">
      <w:pPr>
        <w:spacing w:after="0"/>
        <w:jc w:val="both"/>
        <w:rPr>
          <w:rFonts w:ascii="Times New Roman" w:hAnsi="Times New Roman" w:cs="Times New Roman"/>
          <w:sz w:val="24"/>
          <w:szCs w:val="24"/>
          <w:lang w:val="ro-RO"/>
        </w:rPr>
      </w:pPr>
    </w:p>
    <w:p w14:paraId="189E3F36" w14:textId="77777777"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Simptome extrapiramidale </w:t>
      </w:r>
    </w:p>
    <w:p w14:paraId="09EBAE65" w14:textId="77777777"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studiile clinice placebo-controlate la adulţi, quetiapina, în comparaţie cu placebo, a fost asociată cu o creştere a incidenţei simptomelor extrapiramidale (SEP) la pacienţii trataţi pentru episoade depresive majore în cadrul tulburării afective bipolare şi a tulburării depresive majore (vezi pct. 4.8 şi 5.1). </w:t>
      </w:r>
    </w:p>
    <w:p w14:paraId="61869445" w14:textId="318E1FE0" w:rsidR="00967760"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Utilizarea quetiapinei a fost asociată cu apariţia akatisiei, manifestată prin agitaţie deranjantă sau neplăcută la nivel subiectiv şi prin nevoia de a se mişca, frecvent însoţită de incapacitatea de a sta pe loc sau de a sta liniştit. Acest lucru este cel mai probabil să se întâmple în primele câteva săptămâni de tratament. La pacienţii la care apar aceste simptome, creşterea dozelor poate fi dăunătoare.</w:t>
      </w:r>
    </w:p>
    <w:p w14:paraId="1BAE1165" w14:textId="77777777" w:rsidR="00FE15A1" w:rsidRPr="00270D5B" w:rsidRDefault="00FE15A1" w:rsidP="00967760">
      <w:pPr>
        <w:spacing w:after="0"/>
        <w:jc w:val="both"/>
        <w:rPr>
          <w:rFonts w:ascii="Times New Roman" w:hAnsi="Times New Roman" w:cs="Times New Roman"/>
          <w:sz w:val="24"/>
          <w:szCs w:val="24"/>
          <w:lang w:val="ro-RO"/>
        </w:rPr>
      </w:pPr>
    </w:p>
    <w:p w14:paraId="37D347D2" w14:textId="77777777"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Diskinezie tardivă: </w:t>
      </w:r>
    </w:p>
    <w:p w14:paraId="0AA15E55" w14:textId="3F7706E0"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Dacă apar semne şi simptome de diskinezie tardivă, trebuie luată în considerare scăderea dozelor sau întreruperea tratamentului cu quetiapină. Simptomele de diskinezie tardivă se pot agrava sau pot apărea chiar după întreruperea tratamentului (vezi pct. 4.8).</w:t>
      </w:r>
    </w:p>
    <w:p w14:paraId="47243EA5" w14:textId="77777777" w:rsidR="00967760" w:rsidRPr="00270D5B" w:rsidRDefault="00967760" w:rsidP="00967760">
      <w:pPr>
        <w:spacing w:after="0"/>
        <w:jc w:val="both"/>
        <w:rPr>
          <w:rFonts w:ascii="Times New Roman" w:hAnsi="Times New Roman" w:cs="Times New Roman"/>
          <w:sz w:val="24"/>
          <w:szCs w:val="24"/>
          <w:lang w:val="ro-RO"/>
        </w:rPr>
      </w:pPr>
    </w:p>
    <w:p w14:paraId="10CB4381" w14:textId="77777777"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Somnolenţă şi ameţeli: </w:t>
      </w:r>
    </w:p>
    <w:p w14:paraId="69962E12" w14:textId="60E95F43" w:rsidR="00967760" w:rsidRPr="00270D5B" w:rsidRDefault="0096776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Tratamentul cu quetiapină a fost asociat cu apariţia somnolenţei şi a altor simptome asemănătoare, cum ar fi sedarea (vezi pct. 4.8.). În studiile clinice pentru tratamentul pacienţilor cu depresie din cadrul tulburării bipolare şi a tulburării depresive majore, somnolenţa a apărut în general în primele 3 zile de tratament şi a fost în special de intensitate medie sau moderată. Pacienţii la care apare somnolenţă de intensitate severă pot necesita monitorizare mai atentă pentru o perioadă de minim 2 săptămâni de la debutul somnolenţei, sau până când simptomele se remit; întreruperea tratamentului poate să fie luată în considerare dacă este nevoie.</w:t>
      </w:r>
    </w:p>
    <w:p w14:paraId="36DD09A8" w14:textId="77777777" w:rsidR="00D813F4" w:rsidRPr="00270D5B" w:rsidRDefault="00D813F4" w:rsidP="00D813F4">
      <w:pPr>
        <w:spacing w:after="0"/>
        <w:jc w:val="both"/>
        <w:rPr>
          <w:rFonts w:ascii="Times New Roman" w:hAnsi="Times New Roman" w:cs="Times New Roman"/>
          <w:sz w:val="24"/>
          <w:szCs w:val="24"/>
          <w:lang w:val="ro-RO"/>
        </w:rPr>
      </w:pPr>
    </w:p>
    <w:p w14:paraId="5CF586DD" w14:textId="3519B90D" w:rsidR="00D813F4" w:rsidRPr="00270D5B" w:rsidRDefault="00D813F4" w:rsidP="00D813F4">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Hipotensiune arterială ortostatică:</w:t>
      </w:r>
    </w:p>
    <w:p w14:paraId="5243B1BD"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Tratamentul cu quetiapină a fost asociat cu hipotensiune arterială ortostatică şi ameţeli consecutive (vezi pct. 4.8), care, similar somnolenţei au debutat în general în timpul perioadei de iniţiere a terapiei şi de creştere treptată a dozelor. Acest lucru poate să determine creşterea incidenţei leziunilor accidentale (căderi), în special la pacienţii vârstnici. Ca urmare, pacienţii trebuie sfătuiţi să fie precauţi până se obişnuesc cu efectele potenţiale ale tratamentului.</w:t>
      </w:r>
    </w:p>
    <w:p w14:paraId="5692786B" w14:textId="0A067741" w:rsidR="00967760"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Quetiapina trebuie administrat cu prudenţă la pacienţii cu afecţiuni cardiovasculare cunoscute, boli cerebrovasculare sau alte afecţiuni care predispun la hipotensiune arterială. În cazul în care apare hipotensiunea arterială ortostatică, trebuie luată în considerare reducerea dozelor sau o creştere mai lentă a acestora, în specialla pacienţi cu afecţiuni cardiovasculare de fond.</w:t>
      </w:r>
    </w:p>
    <w:p w14:paraId="3444376A" w14:textId="77777777" w:rsidR="00D813F4" w:rsidRPr="00270D5B" w:rsidRDefault="00D813F4" w:rsidP="00967760">
      <w:pPr>
        <w:spacing w:after="0"/>
        <w:jc w:val="both"/>
        <w:rPr>
          <w:rFonts w:ascii="Times New Roman" w:hAnsi="Times New Roman" w:cs="Times New Roman"/>
          <w:sz w:val="24"/>
          <w:szCs w:val="24"/>
          <w:lang w:val="ro-RO"/>
        </w:rPr>
      </w:pPr>
    </w:p>
    <w:p w14:paraId="03AF9D88" w14:textId="2BF3FF1F" w:rsidR="00177EB0" w:rsidRPr="00DF4666" w:rsidRDefault="00177EB0" w:rsidP="00967760">
      <w:pPr>
        <w:spacing w:after="0"/>
        <w:jc w:val="both"/>
        <w:rPr>
          <w:rFonts w:ascii="Times New Roman" w:hAnsi="Times New Roman" w:cs="Times New Roman"/>
          <w:b/>
          <w:bCs/>
          <w:i/>
          <w:iCs/>
          <w:sz w:val="24"/>
          <w:szCs w:val="24"/>
          <w:lang w:val="ro-RO"/>
        </w:rPr>
      </w:pPr>
      <w:r w:rsidRPr="00DF4666">
        <w:rPr>
          <w:rFonts w:ascii="Times New Roman" w:hAnsi="Times New Roman" w:cs="Times New Roman"/>
          <w:b/>
          <w:bCs/>
          <w:i/>
          <w:iCs/>
          <w:sz w:val="24"/>
          <w:szCs w:val="24"/>
          <w:lang w:val="ro-RO"/>
        </w:rPr>
        <w:t>Sindrom de apnee în somn</w:t>
      </w:r>
    </w:p>
    <w:p w14:paraId="4EC343DA" w14:textId="77777777" w:rsidR="00DF4666" w:rsidRDefault="00177EB0" w:rsidP="00967760">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Sindromul de apnee în somn a fost raportat la pacienții care au folosit quetiapina. Quetiapina trebuie utilizată cu precauţie la pacienții care primesc concomitent deprimante ale sistemului nervos central și care au antecedente sau risc de apnee în somn, cum sunt persoanele supraponderale/obeze</w:t>
      </w:r>
      <w:r w:rsidR="00DF4666">
        <w:rPr>
          <w:rFonts w:ascii="Times New Roman" w:hAnsi="Times New Roman" w:cs="Times New Roman"/>
          <w:sz w:val="24"/>
          <w:szCs w:val="24"/>
          <w:lang w:val="ro-RO"/>
        </w:rPr>
        <w:t xml:space="preserve"> </w:t>
      </w:r>
      <w:r w:rsidRPr="00270D5B">
        <w:rPr>
          <w:rFonts w:ascii="Times New Roman" w:hAnsi="Times New Roman" w:cs="Times New Roman"/>
          <w:sz w:val="24"/>
          <w:szCs w:val="24"/>
          <w:lang w:val="ro-RO"/>
        </w:rPr>
        <w:t>sau bărbații.</w:t>
      </w:r>
    </w:p>
    <w:p w14:paraId="0C190E3F" w14:textId="340EF4C3" w:rsidR="00177EB0" w:rsidRPr="00270D5B" w:rsidRDefault="00177EB0" w:rsidP="00967760">
      <w:pPr>
        <w:spacing w:after="0"/>
        <w:jc w:val="both"/>
        <w:rPr>
          <w:rFonts w:ascii="Times New Roman" w:hAnsi="Times New Roman" w:cs="Times New Roman"/>
          <w:sz w:val="24"/>
          <w:szCs w:val="24"/>
          <w:lang w:val="ro-RO"/>
        </w:rPr>
      </w:pPr>
    </w:p>
    <w:p w14:paraId="47572B43" w14:textId="0600B9B5" w:rsidR="00D813F4" w:rsidRPr="00FE15A1" w:rsidRDefault="00D813F4" w:rsidP="00D813F4">
      <w:pPr>
        <w:spacing w:after="0"/>
        <w:jc w:val="both"/>
        <w:rPr>
          <w:rFonts w:ascii="Times New Roman" w:hAnsi="Times New Roman" w:cs="Times New Roman"/>
          <w:b/>
          <w:bCs/>
          <w:i/>
          <w:iCs/>
          <w:sz w:val="24"/>
          <w:szCs w:val="24"/>
          <w:lang w:val="ro-RO"/>
        </w:rPr>
      </w:pPr>
      <w:r w:rsidRPr="00FE15A1">
        <w:rPr>
          <w:rFonts w:ascii="Times New Roman" w:hAnsi="Times New Roman" w:cs="Times New Roman"/>
          <w:b/>
          <w:bCs/>
          <w:i/>
          <w:iCs/>
          <w:sz w:val="24"/>
          <w:szCs w:val="24"/>
          <w:lang w:val="ro-RO"/>
        </w:rPr>
        <w:t>Convulsii</w:t>
      </w:r>
    </w:p>
    <w:p w14:paraId="76237637"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studiile clinice controlate nu s-a observat nicio diferenţă în ceea ce priveşte incidenţa convulsiilor la pacienţii trataţi cu quetiapină, faţă de cei la care s-a administrat placebo. Nu sunt disponibile date referitoare la incidenţa convulsiilor la pacienţii cu istoric de convulsii. Similar altor antipsihotice, se recomandă prudenţă în cazul pacienţilor cu antecedente de convulsii (vezi pct. 4.8). </w:t>
      </w:r>
    </w:p>
    <w:p w14:paraId="69EB07F9" w14:textId="77777777" w:rsidR="00D813F4" w:rsidRPr="00270D5B" w:rsidRDefault="00D813F4" w:rsidP="00D813F4">
      <w:pPr>
        <w:spacing w:after="0"/>
        <w:jc w:val="both"/>
        <w:rPr>
          <w:rFonts w:ascii="Times New Roman" w:hAnsi="Times New Roman" w:cs="Times New Roman"/>
          <w:b/>
          <w:bCs/>
          <w:i/>
          <w:iCs/>
          <w:sz w:val="24"/>
          <w:szCs w:val="24"/>
          <w:lang w:val="ro-RO"/>
        </w:rPr>
      </w:pPr>
    </w:p>
    <w:p w14:paraId="497B03C2" w14:textId="64E1053B"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Sindrom neuroleptic malign </w:t>
      </w:r>
    </w:p>
    <w:p w14:paraId="0F4BF2FC"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Sindromul neuroleptic malign a fost asociat cu terapia antipsihotică, inclusiv cu quetiapina (vezi pct. 4.8). Manifestările clinice includ hipertermie, alterare a stării de conştienţă, rigiditate musculară, distonie vegetativă şi creştere a valorilor creatin-fosfokinazei. În cazul apariţiei acestui sindrom, tratamentul cu quetiapină trebuie întrerupt şi administrat tratamentul medical adecvat. </w:t>
      </w:r>
    </w:p>
    <w:p w14:paraId="58B92E51" w14:textId="77777777" w:rsidR="00D813F4" w:rsidRPr="00270D5B" w:rsidRDefault="00D813F4" w:rsidP="00D813F4">
      <w:pPr>
        <w:spacing w:after="0"/>
        <w:jc w:val="both"/>
        <w:rPr>
          <w:rFonts w:ascii="Times New Roman" w:hAnsi="Times New Roman" w:cs="Times New Roman"/>
          <w:b/>
          <w:bCs/>
          <w:i/>
          <w:iCs/>
          <w:sz w:val="24"/>
          <w:szCs w:val="24"/>
          <w:lang w:val="ro-RO"/>
        </w:rPr>
      </w:pPr>
    </w:p>
    <w:p w14:paraId="6FB5684A" w14:textId="27929648"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Neutropenie severă şi agranulocitoză </w:t>
      </w:r>
    </w:p>
    <w:p w14:paraId="1D6EC84F"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Neutropenia severă (număr de neutrofile &lt; 0,5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/l) a fost raportată în studiile clinice cu quetiapină. Cele mai multe cazuri de neutropenie severă au apărut în interval de 2 luni de la iniţierea tratamentului cu quetiapină. Nu a existat aparent o relaţie cu doza administrată. După punerea pe piaţă, au fost raportate câteva cazuri letale. Posibilii factori de risc pentru neutropenie includ pre-existenţa unui număr scăzut de leucocite în sânge şi antecedente de neutropenie indusă medicamentos. Totuşi, unele cazuri au apărut la pacienţi fără factori de risc preexistenţi. Tratamentul cu quetiapină trebuie întrerupt la pacienţii cu un număr de neutrofile &lt; 1,0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/l. Pacienţii trebuie monitorizaţi pentru semne şi simptome de infecţie, iar numărul de neutrofile monitorizat permanent (până când depăşeşte 1,5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 xml:space="preserve">/l) (vezi pct 5.1). </w:t>
      </w:r>
    </w:p>
    <w:p w14:paraId="3E07480E"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Posibilitatea apariţiei neutropeniei trebuie luată în considerare la pacienţii care prezintă o infecţie sau febră, în special în absenţa unui/unor factor(i) de risc predispozant(ţi) şi aceasta trebuie tratată corespunzator în funcţie de simtomatologia clinică. </w:t>
      </w:r>
    </w:p>
    <w:p w14:paraId="38641442" w14:textId="53E56B43"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Pacienţii trebuie sfătuiţi să raporteze imediat apariţia unor semne / simptome caracteristice pentru agranulocitoză sau infecţie (de exemplu febră, slăbiciune, letargie sau durere în gât) la orice moment în timpul tratamentului cu </w:t>
      </w:r>
      <w:r w:rsidR="005C281C"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La aceşti pacienţi, numărul de neutrofile trebuie monitorizat permanent şi trebuie determinată imediat valoarea absolută a numărului de neutrofile, în special în absenţa factorilor predispozanţi. </w:t>
      </w:r>
    </w:p>
    <w:p w14:paraId="1844CFBD" w14:textId="77777777" w:rsidR="00D813F4" w:rsidRPr="00270D5B" w:rsidRDefault="00D813F4" w:rsidP="00D813F4">
      <w:pPr>
        <w:spacing w:after="0"/>
        <w:jc w:val="both"/>
        <w:rPr>
          <w:rFonts w:ascii="Times New Roman" w:hAnsi="Times New Roman" w:cs="Times New Roman"/>
          <w:b/>
          <w:bCs/>
          <w:i/>
          <w:iCs/>
          <w:sz w:val="24"/>
          <w:szCs w:val="24"/>
          <w:lang w:val="ro-RO"/>
        </w:rPr>
      </w:pPr>
    </w:p>
    <w:p w14:paraId="6B69FEA8" w14:textId="77777777" w:rsidR="00177EB0" w:rsidRPr="00DF4666" w:rsidRDefault="00177EB0" w:rsidP="00177EB0">
      <w:pPr>
        <w:spacing w:after="0"/>
        <w:jc w:val="both"/>
        <w:rPr>
          <w:rFonts w:ascii="Times New Roman" w:hAnsi="Times New Roman" w:cs="Times New Roman"/>
          <w:b/>
          <w:bCs/>
          <w:i/>
          <w:iCs/>
          <w:sz w:val="24"/>
          <w:szCs w:val="24"/>
          <w:lang w:val="ro-RO"/>
        </w:rPr>
      </w:pPr>
      <w:r w:rsidRPr="00DF4666">
        <w:rPr>
          <w:rFonts w:ascii="Times New Roman" w:hAnsi="Times New Roman" w:cs="Times New Roman"/>
          <w:b/>
          <w:bCs/>
          <w:i/>
          <w:iCs/>
          <w:sz w:val="24"/>
          <w:szCs w:val="24"/>
          <w:lang w:val="ro-RO"/>
        </w:rPr>
        <w:t>Efecte anticolinergice (muscarinice)</w:t>
      </w:r>
    </w:p>
    <w:p w14:paraId="5C5B5509" w14:textId="77777777"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Norquetiapina, un metabolit activ al quetiapinei, are o afinitate moderată spre mare pentru câteva</w:t>
      </w:r>
    </w:p>
    <w:p w14:paraId="6AA0A10B" w14:textId="5CC53540"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subtipuri de receptori muscarinici. Aceasta contribuie la apariția RAM ce reflectă efecte anticolinergice când quetiapina este utilizată la doze recomandate, când este utilizată concomitent</w:t>
      </w:r>
    </w:p>
    <w:p w14:paraId="2F4F1A0F" w14:textId="77777777"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cu alte medicamente cu efecte anticolinergice și în caz de supradozaj. Quetiapina trebuie utilizată</w:t>
      </w:r>
    </w:p>
    <w:p w14:paraId="08A77CFB" w14:textId="77777777"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cu precauție la pacienții care primesc medicație cu efecte anticolinergice (muscarinice). Quetiapina</w:t>
      </w:r>
    </w:p>
    <w:p w14:paraId="77C954FC" w14:textId="57B7FBE9"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trebuie utilizată cu precauție la pacienții cu un diagnostic curent sau cu antecedente de retenție urinară, hipertrofie prostatică semnificativă clinic, obstrucție intestinală sau afecțiuni asociate, presiune intraoculară crescută sau glaucom cu unghi închis (vezi pct. 4.5, 4.8, 5.1 și 4.9).</w:t>
      </w:r>
    </w:p>
    <w:p w14:paraId="5F44F4C9" w14:textId="77777777" w:rsidR="00177EB0" w:rsidRPr="00DF4666" w:rsidRDefault="00177EB0" w:rsidP="00D813F4">
      <w:pPr>
        <w:spacing w:after="0"/>
        <w:jc w:val="both"/>
        <w:rPr>
          <w:rFonts w:ascii="Times New Roman" w:hAnsi="Times New Roman" w:cs="Times New Roman"/>
          <w:sz w:val="24"/>
          <w:szCs w:val="24"/>
          <w:lang w:val="ro-RO"/>
        </w:rPr>
      </w:pPr>
    </w:p>
    <w:p w14:paraId="7269F347" w14:textId="045DA9B9"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Interacţiuni </w:t>
      </w:r>
    </w:p>
    <w:p w14:paraId="65A6D9AF"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Vezi şi pct. 4.5. </w:t>
      </w:r>
    </w:p>
    <w:p w14:paraId="4CFA082F"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Administrarea concomitentă a quetiapinei cu inductori puternici ai enzimelor hepatice de tipul carbamazepinei sau fenitoinei conduce la o scădere semnificativă a concentraţiilor plasmatice de quetiapină, fapt care poate afecta eficacitatea terapiei cu quetiapină. Iniţierea terapiei cu quetiapină la pacienţii trataţi cu inductori enzimatici hepatici trebuie să aibă loc numai în cazul în care medicul consideră că beneficiile administrării quetiapinei depăşesc riscurile asociate eliminării din </w:t>
      </w:r>
      <w:r w:rsidRPr="00270D5B">
        <w:rPr>
          <w:rFonts w:ascii="Times New Roman" w:hAnsi="Times New Roman" w:cs="Times New Roman"/>
          <w:sz w:val="24"/>
          <w:szCs w:val="24"/>
          <w:lang w:val="ro-RO"/>
        </w:rPr>
        <w:lastRenderedPageBreak/>
        <w:t xml:space="preserve">tratament a inductorului enzimatic hepatic. Este important ca orice modificare a administrării inductorilor enzimatici să se facă gradat şi ca aceştia să fie înlocuiţi, dacă este necesar, cu non - inductori (de exemplu valproat de sodiu). </w:t>
      </w:r>
    </w:p>
    <w:p w14:paraId="5C15A11E" w14:textId="77777777" w:rsidR="00D813F4" w:rsidRPr="00270D5B" w:rsidRDefault="00D813F4" w:rsidP="00D813F4">
      <w:pPr>
        <w:spacing w:after="0"/>
        <w:jc w:val="both"/>
        <w:rPr>
          <w:rFonts w:ascii="Times New Roman" w:hAnsi="Times New Roman" w:cs="Times New Roman"/>
          <w:b/>
          <w:bCs/>
          <w:i/>
          <w:iCs/>
          <w:sz w:val="24"/>
          <w:szCs w:val="24"/>
          <w:lang w:val="ro-RO"/>
        </w:rPr>
      </w:pPr>
    </w:p>
    <w:p w14:paraId="2F18C559" w14:textId="22E23B9C"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Greutate </w:t>
      </w:r>
    </w:p>
    <w:p w14:paraId="414AB02E" w14:textId="6457ABBD" w:rsidR="00967760"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La pacienţii trataţi cu quetiapină s-a raportat creştere în greutate şi aceasta trebuie monitorizată şi abordată terapeutic în mod adecvat din punct de vedere clinic, în conformitate cu ghidurile referitoare la utilizarea antipsihoticelor (vezi pct. 4.8 şi pct. 5.1).</w:t>
      </w:r>
    </w:p>
    <w:p w14:paraId="18C28CA1" w14:textId="77777777" w:rsidR="00967760" w:rsidRPr="00270D5B" w:rsidRDefault="00967760" w:rsidP="00967760">
      <w:pPr>
        <w:spacing w:after="0"/>
        <w:jc w:val="both"/>
        <w:rPr>
          <w:rFonts w:ascii="Times New Roman" w:hAnsi="Times New Roman" w:cs="Times New Roman"/>
          <w:sz w:val="24"/>
          <w:szCs w:val="24"/>
          <w:lang w:val="ro-RO"/>
        </w:rPr>
      </w:pPr>
    </w:p>
    <w:p w14:paraId="065EBAAC"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Hiperglicemie </w:t>
      </w:r>
    </w:p>
    <w:p w14:paraId="7B2C0836"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Rar au fost raportate hiperglicemie şi/sau apariţia ori exacerbarea diabetului zaharat, asociate ocazional cu cetoacidoză sau comă, incluzând câteva cazuri cu evoluţie letală (vezi pct. 4.8). În unele cazuri, s-a raportat creşterea anterioară a greutăţii corporale, care ar putea fi un factor predispozant. Se recomandă monitorizarea clinică adecvată în comformitate cu ghidurile privind utilizarea antipsihoticelor. Pacienţii trataţi cu orice medicament antipsihotic, incluzând quetiapina, trebuie monitorizaţi pentru decelarea semnelor şi simptomelor de hiperglicemie (cum sunt polidipsia, poliuria, polifagia şi slăbiciunea), iar pacienţii cu diabet zaharat sau cu factori de risc pentru diabet zaharat trebuie monitorizaţi periodic, pentru decelarea deteriorării controlului glicemiei. Greutatea trebuie monitorizată periodic. </w:t>
      </w:r>
    </w:p>
    <w:p w14:paraId="4AEE98A4" w14:textId="77777777" w:rsidR="00D813F4" w:rsidRPr="00270D5B" w:rsidRDefault="00D813F4" w:rsidP="00D813F4">
      <w:pPr>
        <w:spacing w:after="0"/>
        <w:jc w:val="both"/>
        <w:rPr>
          <w:rFonts w:ascii="Times New Roman" w:hAnsi="Times New Roman" w:cs="Times New Roman"/>
          <w:b/>
          <w:bCs/>
          <w:i/>
          <w:iCs/>
          <w:sz w:val="24"/>
          <w:szCs w:val="24"/>
          <w:lang w:val="ro-RO"/>
        </w:rPr>
      </w:pPr>
    </w:p>
    <w:p w14:paraId="25DC20A6" w14:textId="08DD3CB3" w:rsidR="00D813F4" w:rsidRPr="00270D5B" w:rsidRDefault="00D813F4" w:rsidP="00D813F4">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Lipide</w:t>
      </w:r>
    </w:p>
    <w:p w14:paraId="4107E07D" w14:textId="1EE72DFE"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Creşterea concentraţiilor plasmatice ale trigliceridelor, LDL colesterolului şi colesterolului total, şi scăderea concentraţiilor plasmatice ale HDL colesterolului au fost observate în studiile clinice cu quetiapină (vezi şi pct. 4.8.). Creşterea lipidemiei va fi tratată în funcţie de starea clinică </w:t>
      </w:r>
    </w:p>
    <w:p w14:paraId="059D4863" w14:textId="77777777" w:rsidR="00D813F4" w:rsidRPr="00270D5B" w:rsidRDefault="00D813F4" w:rsidP="00D813F4">
      <w:pPr>
        <w:spacing w:after="0"/>
        <w:jc w:val="both"/>
        <w:rPr>
          <w:rFonts w:ascii="Times New Roman" w:hAnsi="Times New Roman" w:cs="Times New Roman"/>
          <w:b/>
          <w:bCs/>
          <w:i/>
          <w:iCs/>
          <w:sz w:val="24"/>
          <w:szCs w:val="24"/>
          <w:lang w:val="ro-RO"/>
        </w:rPr>
      </w:pPr>
    </w:p>
    <w:p w14:paraId="663BFD44" w14:textId="25B4F4A5"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Prelungire a intervalului QT</w:t>
      </w:r>
    </w:p>
    <w:p w14:paraId="266FFC16"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cursul studiilor clinice şi al administrării conform cu recomandările de dozaj, utilizarea quetiapinei nu a fost asociată cu o prelungire persistentă, în valoare absolută, a intervalului QT. După punerea pe piaţă, s-a constatat prelungirea intervalului QT la doze terapeutice (vezi pct. 4.8) şi în cazurile de supradozaj (vezi pct. 4.9). Similar altor antipsihotice, se recomandă ca prescrierea quetiapinei să se facă cu precauţie la pacienţii cu boli cardiovasculare sau cu antecedente familiale de interval QT prelungit. De asemenea, sunt necesare măsuri de precauţie atunci când quetiapina este prescrisă concomitent cu medicamente despre care se cunoaşte că prelungesc intervalul QT sau cu neuroleptice, în special la vârstnici, la pacienţi cu sindrom de QT prelungit congenital, insuficienţă cardiacă congestivă, hipertrofie cardiacă, hipopotasemie sau hipomagneziemie (vezi pct. 4.5.). </w:t>
      </w:r>
    </w:p>
    <w:p w14:paraId="60859F85" w14:textId="77777777" w:rsidR="00D813F4" w:rsidRPr="00270D5B" w:rsidRDefault="00D813F4" w:rsidP="00D813F4">
      <w:pPr>
        <w:spacing w:after="0"/>
        <w:jc w:val="both"/>
        <w:rPr>
          <w:rFonts w:ascii="Times New Roman" w:hAnsi="Times New Roman" w:cs="Times New Roman"/>
          <w:sz w:val="24"/>
          <w:szCs w:val="24"/>
          <w:lang w:val="ro-RO"/>
        </w:rPr>
      </w:pPr>
    </w:p>
    <w:p w14:paraId="31269E6D"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Cardiomiopatie şi Miocardită </w:t>
      </w:r>
    </w:p>
    <w:p w14:paraId="31988B8C"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Cardiomiopatia şi miocardita au fost raportate în studiile clinice şi după punerea pe piaţă, însă nu a fost stabilită o relaţie de cauzalitate cu quetiapina. În cazul pacienţilor cu suspiciune de cardiomiopatie sau miocardită, tratamentul cu quetiapină trebuie reevaluat. </w:t>
      </w:r>
    </w:p>
    <w:p w14:paraId="0D881460" w14:textId="77777777" w:rsidR="00177EB0" w:rsidRPr="00270D5B" w:rsidRDefault="00177EB0" w:rsidP="00D813F4">
      <w:pPr>
        <w:spacing w:after="0"/>
        <w:jc w:val="both"/>
        <w:rPr>
          <w:rFonts w:ascii="Times New Roman" w:hAnsi="Times New Roman" w:cs="Times New Roman"/>
          <w:sz w:val="24"/>
          <w:szCs w:val="24"/>
          <w:lang w:val="ro-RO"/>
        </w:rPr>
      </w:pPr>
    </w:p>
    <w:p w14:paraId="46B0A017" w14:textId="77777777" w:rsidR="00177EB0" w:rsidRPr="00DF4666" w:rsidRDefault="00177EB0" w:rsidP="00177EB0">
      <w:pPr>
        <w:spacing w:after="0"/>
        <w:jc w:val="both"/>
        <w:rPr>
          <w:rFonts w:ascii="Times New Roman" w:hAnsi="Times New Roman" w:cs="Times New Roman"/>
          <w:b/>
          <w:bCs/>
          <w:i/>
          <w:iCs/>
          <w:sz w:val="24"/>
          <w:szCs w:val="24"/>
          <w:lang w:val="ro-RO"/>
        </w:rPr>
      </w:pPr>
      <w:r w:rsidRPr="00DF4666">
        <w:rPr>
          <w:rFonts w:ascii="Times New Roman" w:hAnsi="Times New Roman" w:cs="Times New Roman"/>
          <w:b/>
          <w:bCs/>
          <w:i/>
          <w:iCs/>
          <w:sz w:val="24"/>
          <w:szCs w:val="24"/>
          <w:lang w:val="ro-RO"/>
        </w:rPr>
        <w:t>Reacții adverse cutanate severe</w:t>
      </w:r>
    </w:p>
    <w:p w14:paraId="40A116F9" w14:textId="06E52BCB"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lastRenderedPageBreak/>
        <w:t>Reacții adverse cutanate severe (RACS), inclusiv sindromul Stevens-Johnson (SSJ), necroliza epidermică toxică (NET), pustuloză exantematoasă generalizată acută (PEGA), eritem polimorf (EP) și reacția medicamentoasă cu eozinofilie și simptome sistemice (DRESS), care pot pune viața în pericol sau pot fi letale, au fost raportate foarte rar cu tratament cu quetiapină.</w:t>
      </w:r>
    </w:p>
    <w:p w14:paraId="3CAEB57E" w14:textId="77777777" w:rsidR="00DF4666" w:rsidRDefault="00177EB0" w:rsidP="00D813F4">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RACS se prezintă frecvent cu unul sau mai multe din următoarele simptome: erupții cutanate extinse, care pot fi pruriginoase sau asociate cu pustule, sau dermatită exfoliativă, febră, limfadenopatie și posibilă eozinofilie sau neutrofilie. Majoritatea acestor reacții au aparut după 4 săptămâni de la inițierea tratamentului cu quetiapină, iar unele reacții DRESS au apărut după 6 săptămâni de la inițierea tratamentului cu quetiapină.. Dacă apar semne și simptome care sugerează aceste reacții cutanate severe, administrarea quetiapinei trebuie oprită imediat și trebuie luat în considerare un tratament alternativ.</w:t>
      </w:r>
    </w:p>
    <w:p w14:paraId="079A3152" w14:textId="15756876" w:rsidR="00D813F4" w:rsidRPr="00DF4666" w:rsidRDefault="00D813F4" w:rsidP="00D813F4">
      <w:pPr>
        <w:spacing w:after="0"/>
        <w:jc w:val="both"/>
        <w:rPr>
          <w:rFonts w:ascii="Times New Roman" w:hAnsi="Times New Roman" w:cs="Times New Roman"/>
          <w:sz w:val="24"/>
          <w:szCs w:val="24"/>
          <w:lang w:val="ro-RO"/>
        </w:rPr>
      </w:pPr>
    </w:p>
    <w:p w14:paraId="442E4C6E" w14:textId="0ECA7293" w:rsidR="00D813F4" w:rsidRPr="00270D5B" w:rsidRDefault="00D813F4" w:rsidP="00D813F4">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 xml:space="preserve">Sindromul întreruperii bruşte a tratamentului: </w:t>
      </w:r>
    </w:p>
    <w:p w14:paraId="3F36F83F"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Simptomele acute de întrerupere a tratamentului cum sunt greaţă, cefalee, diaree, ameţeli, iritabilitate, vărsături şi insomnie au fost descrise după întreruperea bruscă a acestuia. Din acest motiv se recomandă întreruperea treptată pe o perioadă de cel puţin 1 sau 2 săptămâni (vezi pct. 4.8). </w:t>
      </w:r>
    </w:p>
    <w:p w14:paraId="14B56AAF" w14:textId="77777777" w:rsidR="00D813F4" w:rsidRPr="00270D5B" w:rsidRDefault="00D813F4" w:rsidP="00D813F4">
      <w:pPr>
        <w:spacing w:after="0"/>
        <w:jc w:val="both"/>
        <w:rPr>
          <w:rFonts w:ascii="Times New Roman" w:hAnsi="Times New Roman" w:cs="Times New Roman"/>
          <w:sz w:val="24"/>
          <w:szCs w:val="24"/>
          <w:lang w:val="ro-RO"/>
        </w:rPr>
      </w:pPr>
    </w:p>
    <w:p w14:paraId="3ADE4C06"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Pacienţi vârstnici cu psihoză în cadrul demenţei: </w:t>
      </w:r>
    </w:p>
    <w:p w14:paraId="7D17526D"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Quetiapina nu este recomandată pentru utilizare în tratamentul psihozei asociate demenţei. </w:t>
      </w:r>
    </w:p>
    <w:p w14:paraId="02C20E0C"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Studii clinice randomizate, placebo-controlate au pus în evidenţă la pacienţii cu demenţă creşterea de 3 ori a riscului apariţiei evenimentelor adverse cerebro-vasculare în cazul tratamentului cu unele antipsihotice atipice. Mecanismul pentru care există creşterea acestui risc nu este cunoscut. O creştere a riscului nu poate fi exclusă pentru alte antipsihotice sau alte grupe de pacienţi. Quetiapina trebuie utilizată cu precauţie la pacienţii cu factori de risc pentru accident vascular cerebral. </w:t>
      </w:r>
    </w:p>
    <w:p w14:paraId="1F729C7A"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cadrul unei meta-analize efectuate pentru medicamente antipsihotice atipice, s-a raportat o creştere a riscului de deces la pacienţii vârstnici cu psihoză în cadrul demenţei, comparativ cu placebo. Cu toate acestea, în două studii efectuate cu quetiapină, controlate cu placebo, cu durata de 10 săptămâni, la aceeaşi grupă de pacienţi (n=710); vârsta medie: 83 ani; intervalul: 56-99 ani), rata mortalităţii la pacienţii trataţi cu quetiapină a fost de 5,5% comparativ cu 3,2% la grupa cu placebo. În cadrul acestui studiu pacienţii au decedat din cauze variate specifice acestei grupe de vârstă. Aceste date nu au stabilit o relaţie de cauzalitate între tratamentul cu quetiapină şi deces la pacienţii vârstnici cu demenţă. </w:t>
      </w:r>
    </w:p>
    <w:p w14:paraId="300FF66D" w14:textId="77777777" w:rsidR="00177EB0" w:rsidRPr="00270D5B" w:rsidRDefault="00177EB0" w:rsidP="00D813F4">
      <w:pPr>
        <w:spacing w:after="0"/>
        <w:jc w:val="both"/>
        <w:rPr>
          <w:rFonts w:ascii="Times New Roman" w:hAnsi="Times New Roman" w:cs="Times New Roman"/>
          <w:sz w:val="24"/>
          <w:szCs w:val="24"/>
          <w:lang w:val="ro-RO"/>
        </w:rPr>
      </w:pPr>
    </w:p>
    <w:p w14:paraId="15E96A0C" w14:textId="77777777" w:rsidR="00177EB0" w:rsidRPr="00DF4666" w:rsidRDefault="00177EB0" w:rsidP="00177EB0">
      <w:pPr>
        <w:spacing w:after="0"/>
        <w:jc w:val="both"/>
        <w:rPr>
          <w:rFonts w:ascii="Times New Roman" w:hAnsi="Times New Roman" w:cs="Times New Roman"/>
          <w:b/>
          <w:bCs/>
          <w:i/>
          <w:iCs/>
          <w:sz w:val="24"/>
          <w:szCs w:val="24"/>
          <w:lang w:val="ro-RO"/>
        </w:rPr>
      </w:pPr>
      <w:r w:rsidRPr="00DF4666">
        <w:rPr>
          <w:rFonts w:ascii="Times New Roman" w:hAnsi="Times New Roman" w:cs="Times New Roman"/>
          <w:b/>
          <w:bCs/>
          <w:i/>
          <w:iCs/>
          <w:sz w:val="24"/>
          <w:szCs w:val="24"/>
          <w:lang w:val="ro-RO"/>
        </w:rPr>
        <w:t>Pacienți vârstnici cu boală Parkinson (BP)/parkinsonism</w:t>
      </w:r>
    </w:p>
    <w:p w14:paraId="3695FED7" w14:textId="77777777"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Un studiu clinic populațional retrospectiv cu quetiapină administrată în tratamentul pacienților cu</w:t>
      </w:r>
    </w:p>
    <w:p w14:paraId="58705804" w14:textId="155C590A"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TDM a evidențiat un risc crescut de deces în timpul utilizării quetiapinei la pacienții cu vârsta &gt;65 de ani. Această asociere nu a fost prezentă atunci când pacienții cu BP au fost eliminați din analiză. Se recomandă prudență dacă se prescrie quetiapina la pacienții vârstnici cu BP.</w:t>
      </w:r>
    </w:p>
    <w:p w14:paraId="63FD5D8A" w14:textId="77777777" w:rsidR="00177EB0" w:rsidRPr="00270D5B" w:rsidRDefault="00177EB0" w:rsidP="00D813F4">
      <w:pPr>
        <w:spacing w:after="0"/>
        <w:jc w:val="both"/>
        <w:rPr>
          <w:rFonts w:ascii="Times New Roman" w:hAnsi="Times New Roman" w:cs="Times New Roman"/>
          <w:sz w:val="24"/>
          <w:szCs w:val="24"/>
          <w:lang w:val="ro-RO"/>
        </w:rPr>
      </w:pPr>
    </w:p>
    <w:p w14:paraId="0AE9C6BF"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Disfagia </w:t>
      </w:r>
    </w:p>
    <w:p w14:paraId="457A395F" w14:textId="5D5B57E3"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 xml:space="preserve">Disfagia (vezi pct. 4.8) a fost raportată la administrarea de quetiapină. </w:t>
      </w:r>
      <w:r w:rsidR="004A44C0" w:rsidRPr="00270D5B">
        <w:rPr>
          <w:rFonts w:ascii="Times New Roman" w:hAnsi="Times New Roman" w:cs="Times New Roman"/>
          <w:sz w:val="24"/>
          <w:szCs w:val="24"/>
          <w:lang w:val="ro-RO"/>
        </w:rPr>
        <w:t>Keday XR</w:t>
      </w:r>
      <w:r w:rsidRPr="00270D5B">
        <w:rPr>
          <w:rFonts w:ascii="Times New Roman" w:hAnsi="Times New Roman" w:cs="Times New Roman"/>
          <w:sz w:val="24"/>
          <w:szCs w:val="24"/>
          <w:lang w:val="ro-RO"/>
        </w:rPr>
        <w:t xml:space="preserve"> trebuie utilizat cu precauţie la pacienţii cu risc de pneumonie de aspiraţie. </w:t>
      </w:r>
    </w:p>
    <w:p w14:paraId="3F1F5A8D" w14:textId="77777777" w:rsidR="004A44C0" w:rsidRPr="00270D5B" w:rsidRDefault="004A44C0" w:rsidP="00D813F4">
      <w:pPr>
        <w:spacing w:after="0"/>
        <w:jc w:val="both"/>
        <w:rPr>
          <w:rFonts w:ascii="Times New Roman" w:hAnsi="Times New Roman" w:cs="Times New Roman"/>
          <w:sz w:val="24"/>
          <w:szCs w:val="24"/>
          <w:lang w:val="ro-RO"/>
        </w:rPr>
      </w:pPr>
    </w:p>
    <w:p w14:paraId="7CF7BCE3"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Constipaţia şi obstrucţia intestinală </w:t>
      </w:r>
    </w:p>
    <w:p w14:paraId="47164654"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Constipaţia reprezintă un factor de risc pentru obstrucţia intestinală. Constipaţia şi obstrucţia intestinală au fost raportate la administrarea quetiapinei (vezi pct. 4.8 Reacţii adverse). Aceasta include şi raportări de cazuri letale la pacienţi care prezentau un risc mai crescut de obstrucţie intestinală, incluzând-ui pe cei care utilizau concomitent mai multe medicamente care scad motilitatea intestinală şi/sau nu prezentau simptome de constipaţie. Pacienţii cu obstrucţie intestinală / ileus trebuie monitorizaţi atent şi îngrijiţi urgent. </w:t>
      </w:r>
    </w:p>
    <w:p w14:paraId="0A5F926A" w14:textId="77777777" w:rsidR="005C281C" w:rsidRPr="00270D5B" w:rsidRDefault="005C281C" w:rsidP="00D813F4">
      <w:pPr>
        <w:spacing w:after="0"/>
        <w:jc w:val="both"/>
        <w:rPr>
          <w:rFonts w:ascii="Times New Roman" w:hAnsi="Times New Roman" w:cs="Times New Roman"/>
          <w:sz w:val="24"/>
          <w:szCs w:val="24"/>
          <w:lang w:val="ro-RO"/>
        </w:rPr>
      </w:pPr>
    </w:p>
    <w:p w14:paraId="3C94D3B7"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Tromboembolism venos </w:t>
      </w:r>
    </w:p>
    <w:p w14:paraId="348AED19" w14:textId="738ABFA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La pacienţii trataţi cu medicamente antipsihotice au fost raportate cazuri de tromboembolism venos. Deoarece pacienţii trataţi cu antipsihotice prezintă adesea factori de risc pentru tromboembolism venos, aceştia trebuie identificaţi atât înainte cât şi în timpul tratamentului cu </w:t>
      </w:r>
      <w:r w:rsidR="005C281C" w:rsidRPr="00270D5B">
        <w:rPr>
          <w:rFonts w:ascii="Times New Roman" w:hAnsi="Times New Roman" w:cs="Times New Roman"/>
          <w:sz w:val="24"/>
          <w:szCs w:val="24"/>
          <w:lang w:val="ro-RO"/>
        </w:rPr>
        <w:t>Keday XR</w:t>
      </w:r>
      <w:r w:rsidRPr="00270D5B">
        <w:rPr>
          <w:rFonts w:ascii="Times New Roman" w:hAnsi="Times New Roman" w:cs="Times New Roman"/>
          <w:sz w:val="24"/>
          <w:szCs w:val="24"/>
          <w:lang w:val="ro-RO"/>
        </w:rPr>
        <w:t xml:space="preserve"> şi trebuie luate măsurile preventive necesare. </w:t>
      </w:r>
    </w:p>
    <w:p w14:paraId="55A5CB49" w14:textId="77777777" w:rsidR="005C281C" w:rsidRPr="00270D5B" w:rsidRDefault="005C281C" w:rsidP="00D813F4">
      <w:pPr>
        <w:spacing w:after="0"/>
        <w:jc w:val="both"/>
        <w:rPr>
          <w:rFonts w:ascii="Times New Roman" w:hAnsi="Times New Roman" w:cs="Times New Roman"/>
          <w:sz w:val="24"/>
          <w:szCs w:val="24"/>
          <w:lang w:val="ro-RO"/>
        </w:rPr>
      </w:pPr>
    </w:p>
    <w:p w14:paraId="50B694D9" w14:textId="77777777" w:rsidR="00D813F4" w:rsidRPr="00270D5B" w:rsidRDefault="00D813F4" w:rsidP="00D813F4">
      <w:pPr>
        <w:spacing w:after="0"/>
        <w:jc w:val="both"/>
        <w:rPr>
          <w:rFonts w:ascii="Times New Roman" w:hAnsi="Times New Roman" w:cs="Times New Roman"/>
          <w:i/>
          <w:iCs/>
          <w:sz w:val="24"/>
          <w:szCs w:val="24"/>
          <w:lang w:val="ro-RO"/>
        </w:rPr>
      </w:pPr>
      <w:r w:rsidRPr="00270D5B">
        <w:rPr>
          <w:rFonts w:ascii="Times New Roman" w:hAnsi="Times New Roman" w:cs="Times New Roman"/>
          <w:b/>
          <w:bCs/>
          <w:i/>
          <w:iCs/>
          <w:sz w:val="24"/>
          <w:szCs w:val="24"/>
          <w:lang w:val="ro-RO"/>
        </w:rPr>
        <w:t xml:space="preserve">Pancreatita </w:t>
      </w:r>
    </w:p>
    <w:p w14:paraId="07792E97"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Pancreatita a fost raportată în studiile clinice şi după punerea pe piaţă. Deşi nu toate cazurile au fost însoţite de factori de risc, printre raportările de după punerea pe piaţă, mulţi pacienţi au prezentat factori de risc care sunt cunoscuţi ca fiind asociaţi pancreatitei, cum sunt valori crescute ale trigliceridemiei (vezi pct. 4.4.), litiază biliară şi consum de alcool. </w:t>
      </w:r>
    </w:p>
    <w:p w14:paraId="17308FCD" w14:textId="77777777" w:rsidR="005C281C" w:rsidRPr="00270D5B" w:rsidRDefault="005C281C" w:rsidP="00D813F4">
      <w:pPr>
        <w:spacing w:after="0"/>
        <w:jc w:val="both"/>
        <w:rPr>
          <w:rFonts w:ascii="Times New Roman" w:hAnsi="Times New Roman" w:cs="Times New Roman"/>
          <w:sz w:val="24"/>
          <w:szCs w:val="24"/>
          <w:lang w:val="ro-RO"/>
        </w:rPr>
      </w:pPr>
    </w:p>
    <w:p w14:paraId="4EFCFD98" w14:textId="77777777"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 xml:space="preserve">Informaţii suplimentare </w:t>
      </w:r>
    </w:p>
    <w:p w14:paraId="2E2743F2" w14:textId="77777777" w:rsidR="005C281C"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Datele privitoare la administrarea de quetiapină în asociere cu valproat de sodiu sau litiu în episoadele maniacale moderate până la severe sunt limitate; cu toate acestea, terapia asociată a fost bine tolerată (vezi pct. 4.8 şi 5.1). Datele au evidenţiat un efect aditiv în săptămâna 3.</w:t>
      </w:r>
    </w:p>
    <w:p w14:paraId="66CE5726" w14:textId="77777777" w:rsidR="00177EB0" w:rsidRPr="00270D5B" w:rsidRDefault="00177EB0" w:rsidP="00D813F4">
      <w:pPr>
        <w:spacing w:after="0"/>
        <w:jc w:val="both"/>
        <w:rPr>
          <w:rFonts w:ascii="Times New Roman" w:hAnsi="Times New Roman" w:cs="Times New Roman"/>
          <w:sz w:val="24"/>
          <w:szCs w:val="24"/>
          <w:lang w:val="ro-RO"/>
        </w:rPr>
      </w:pPr>
    </w:p>
    <w:p w14:paraId="66893881" w14:textId="77777777" w:rsidR="00177EB0" w:rsidRPr="00DF4666" w:rsidRDefault="00177EB0" w:rsidP="00177EB0">
      <w:pPr>
        <w:spacing w:after="0"/>
        <w:jc w:val="both"/>
        <w:rPr>
          <w:rFonts w:ascii="Times New Roman" w:hAnsi="Times New Roman" w:cs="Times New Roman"/>
          <w:b/>
          <w:bCs/>
          <w:i/>
          <w:iCs/>
          <w:sz w:val="24"/>
          <w:szCs w:val="24"/>
          <w:lang w:val="ro-RO"/>
        </w:rPr>
      </w:pPr>
      <w:r w:rsidRPr="00DF4666">
        <w:rPr>
          <w:rFonts w:ascii="Times New Roman" w:hAnsi="Times New Roman" w:cs="Times New Roman"/>
          <w:b/>
          <w:bCs/>
          <w:i/>
          <w:iCs/>
          <w:sz w:val="24"/>
          <w:szCs w:val="24"/>
          <w:lang w:val="ro-RO"/>
        </w:rPr>
        <w:t>Utilizare improprie și abuz</w:t>
      </w:r>
    </w:p>
    <w:p w14:paraId="2D5BE497" w14:textId="72803DF6" w:rsidR="00177EB0" w:rsidRPr="00DF4666" w:rsidRDefault="00177EB0" w:rsidP="00177EB0">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Au fost raportate cazuri de utilizare improprie și abuz. Ar putea fi necesară precauție atunci când se prescrie quetiapină la pacienții cu antecedente de abuz de alcool sau de droguri.</w:t>
      </w:r>
    </w:p>
    <w:p w14:paraId="5A998689" w14:textId="12D0941A" w:rsidR="00D813F4" w:rsidRPr="00270D5B" w:rsidRDefault="00D813F4" w:rsidP="00D813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 </w:t>
      </w:r>
    </w:p>
    <w:p w14:paraId="794A76FF" w14:textId="5F4E81CB" w:rsidR="00967760" w:rsidRPr="00270D5B" w:rsidRDefault="00763ADC"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Keday</w:t>
      </w:r>
      <w:r w:rsidR="00D813F4" w:rsidRPr="00270D5B">
        <w:rPr>
          <w:rFonts w:ascii="Times New Roman" w:hAnsi="Times New Roman" w:cs="Times New Roman"/>
          <w:b/>
          <w:bCs/>
          <w:sz w:val="24"/>
          <w:szCs w:val="24"/>
          <w:lang w:val="ro-RO"/>
        </w:rPr>
        <w:t xml:space="preserve"> XR conţine lactoză</w:t>
      </w:r>
      <w:r w:rsidR="00D813F4" w:rsidRPr="00270D5B">
        <w:rPr>
          <w:rFonts w:ascii="Times New Roman" w:hAnsi="Times New Roman" w:cs="Times New Roman"/>
          <w:sz w:val="24"/>
          <w:szCs w:val="24"/>
          <w:lang w:val="ro-RO"/>
        </w:rPr>
        <w:t>. Ca urmare, pacienţii cu afecţiuni ereditare rare de intoleranţă la galactoză, deficit de lactază (Lapp) sau sindrom de malabsorbţie la glucoză-galactoză nu trebuie să utilizeze acest medicament.</w:t>
      </w:r>
    </w:p>
    <w:p w14:paraId="6F7DE036" w14:textId="77777777" w:rsidR="00763ADC" w:rsidRPr="00270D5B" w:rsidRDefault="00763ADC" w:rsidP="00D813F4">
      <w:pPr>
        <w:spacing w:after="0"/>
        <w:jc w:val="both"/>
        <w:rPr>
          <w:rFonts w:ascii="Times New Roman" w:hAnsi="Times New Roman" w:cs="Times New Roman"/>
          <w:sz w:val="24"/>
          <w:szCs w:val="24"/>
          <w:lang w:val="ro-RO"/>
        </w:rPr>
      </w:pPr>
    </w:p>
    <w:p w14:paraId="2BB981EF" w14:textId="0A864632" w:rsidR="00763ADC" w:rsidRPr="00270D5B" w:rsidRDefault="00763ADC" w:rsidP="00D813F4">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Keday XR conține Galben amurg FCT (E110)</w:t>
      </w:r>
      <w:r w:rsidRPr="00270D5B">
        <w:rPr>
          <w:rFonts w:ascii="Times New Roman" w:hAnsi="Times New Roman" w:cs="Times New Roman"/>
          <w:sz w:val="24"/>
          <w:szCs w:val="24"/>
          <w:lang w:val="ro-RO"/>
        </w:rPr>
        <w:t>. Poate provoca reacții alergice.</w:t>
      </w:r>
    </w:p>
    <w:p w14:paraId="410CE928" w14:textId="77777777" w:rsidR="00D813F4" w:rsidRPr="00270D5B" w:rsidRDefault="00D813F4" w:rsidP="002B222E">
      <w:pPr>
        <w:spacing w:after="0"/>
        <w:jc w:val="both"/>
        <w:rPr>
          <w:rFonts w:ascii="Times New Roman" w:hAnsi="Times New Roman" w:cs="Times New Roman"/>
          <w:sz w:val="24"/>
          <w:szCs w:val="24"/>
          <w:lang w:val="ro-RO"/>
        </w:rPr>
      </w:pPr>
    </w:p>
    <w:p w14:paraId="1A38A49B"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4.5 Interacţiuni cu alte medicamente şi alte forme de interacţiune</w:t>
      </w:r>
    </w:p>
    <w:p w14:paraId="0CCC9C84" w14:textId="77777777" w:rsidR="005C281C" w:rsidRPr="00270D5B" w:rsidRDefault="005C281C" w:rsidP="005C281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Deoarece quetiapina are efecte în primul rând la nivelul sistemului nervos central, trebuie administrată cu prudenţă în asociere cu alte medicamente care acţionează la nivel central sau cu alcoolul etilic.</w:t>
      </w:r>
    </w:p>
    <w:p w14:paraId="73D4BC19" w14:textId="209D1C7E" w:rsidR="000E3F04" w:rsidRPr="00270D5B" w:rsidRDefault="005C281C" w:rsidP="005C281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Enzima 3A4 a citocromului P450 (CYP) este principala enzimă implicată în metabolizarea quetiapinei prin intermediul sistemului citocromului P450. Într-un studiu de interacţiuni efectuat la voluntari sănătoşi, administrarea concomitentă de quetiapină (doze de 25 mg) şi ketoconazol, un inhibitor al CYP3A4, a provocat o creştere a ASC (aria de sub curba concentraţiei plasmatice în funcţie de timp) a quetiapinei de 5 până la 8 ori. Din aceste considerente se contraindică administrarea concomitentă de quetiapină şi inhibitori ai CYP3A4. De asemenea, nu se recomandă utilizarea quetiapinei împreună cu sucul de grepfruit.</w:t>
      </w:r>
    </w:p>
    <w:p w14:paraId="243E5435" w14:textId="77777777" w:rsidR="005C281C" w:rsidRPr="00270D5B" w:rsidRDefault="005C281C" w:rsidP="005C281C">
      <w:pPr>
        <w:spacing w:after="0"/>
        <w:jc w:val="both"/>
        <w:rPr>
          <w:rFonts w:ascii="Times New Roman" w:hAnsi="Times New Roman" w:cs="Times New Roman"/>
          <w:sz w:val="24"/>
          <w:szCs w:val="24"/>
          <w:lang w:val="ro-RO"/>
        </w:rPr>
      </w:pPr>
    </w:p>
    <w:p w14:paraId="0720D485" w14:textId="266AA520"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clinic cu doze repetate, efectuat pentru evaluarea proprietăţilor farmacocinetice ale quetiapinei administrate înaintea şi în cursul tratamentului cu carbamazepină (un inductor enzimatic hepatic cunoscut), administrarea concomitentă a carbamazepinei a determinat o creştere semnificativă a clearance-ului quetiapinei. Această creştere a clearance-ului a redus expunerea sistemică la quetiapină (măsurată cu ajutorul ASC) în medie cu 13% din expunerea observată în timpul administrării de quetiapină în monoterapie; cu toate acestea la unii pacienţi s-a observat un efect mai puternic. Ca o consecinţă a acestei interacţiuni, poate apărea scăderea concentraţiilor plasmatice, ceea ce ar putea afecta eficacitatea tratamentului cu Keday XR. Administrarea concomitentă de quetiapină cu fenitoină (un alt inductor al enzimelor microzomale) determină o creştere deosebit de pronunţată a clearance-ului quetiapinei, cu aproximativ 450%. La pacienţii trataţi cu un inductor enzimatic, iniţierea tratamentului cu quetiapină trebuie să aibă loc numai în cazul în care medicul consideră că beneficiile administrării quetiapinei depăşesc riscurile asociate întreruperii tratamentului cu inductorul enzimatic hepatic. Este important ca orice modificare a administrării inductorilor enzimatici să se facă gradat şi ca aceştia să fie înlocuiţi, dacă este necesar, cu un medicament non - inductor (de exemplu valproat de sodiu) (vezi şi pct. 4.4.).</w:t>
      </w:r>
    </w:p>
    <w:p w14:paraId="6FA0749F" w14:textId="77777777" w:rsidR="00BB2FE9" w:rsidRPr="00270D5B" w:rsidRDefault="00BB2FE9" w:rsidP="001E27C3">
      <w:pPr>
        <w:spacing w:after="0"/>
        <w:jc w:val="both"/>
        <w:rPr>
          <w:rFonts w:ascii="Times New Roman" w:hAnsi="Times New Roman" w:cs="Times New Roman"/>
          <w:sz w:val="24"/>
          <w:szCs w:val="24"/>
          <w:lang w:val="ro-RO"/>
        </w:rPr>
      </w:pPr>
    </w:p>
    <w:p w14:paraId="1185A6D8" w14:textId="32BBF486"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Proprietăţile farmacocinetice ale quetiapinei nu au fost modificate semnificativ ca urmare a administrării concomitente a următoarelor antidepresive: imipramină (un inhibitor cunoscut al CYP 2 D6) şi fluoxetină (un inhibitor cunoscut al CYP 3A4 şi al CYP 2D6).</w:t>
      </w:r>
    </w:p>
    <w:p w14:paraId="118FBE01" w14:textId="77777777" w:rsidR="00BB2FE9" w:rsidRPr="00270D5B" w:rsidRDefault="00BB2FE9" w:rsidP="001E27C3">
      <w:pPr>
        <w:spacing w:after="0"/>
        <w:jc w:val="both"/>
        <w:rPr>
          <w:rFonts w:ascii="Times New Roman" w:hAnsi="Times New Roman" w:cs="Times New Roman"/>
          <w:sz w:val="24"/>
          <w:szCs w:val="24"/>
          <w:lang w:val="ro-RO"/>
        </w:rPr>
      </w:pPr>
    </w:p>
    <w:p w14:paraId="4F5E6C9B" w14:textId="77777777"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Proprietăţile farmacocinetice ale quetiapinei nu au fost modificate semnificativ ca urmare a administrării concomitente a următoarelor antipsihotice: risperidonă şi haloperidol. Administrarea concomitentă de quetiapină şi tioridazină provoacă o creştere a clearance-ului quetiapinei, cu aproximativ 70%.</w:t>
      </w:r>
    </w:p>
    <w:p w14:paraId="02190DD1" w14:textId="77777777" w:rsidR="00BB2FE9" w:rsidRPr="00270D5B" w:rsidRDefault="00BB2FE9" w:rsidP="001E27C3">
      <w:pPr>
        <w:spacing w:after="0"/>
        <w:jc w:val="both"/>
        <w:rPr>
          <w:rFonts w:ascii="Times New Roman" w:hAnsi="Times New Roman" w:cs="Times New Roman"/>
          <w:sz w:val="24"/>
          <w:szCs w:val="24"/>
          <w:lang w:val="ro-RO"/>
        </w:rPr>
      </w:pPr>
    </w:p>
    <w:p w14:paraId="747962BA" w14:textId="77777777"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Proprietăţile farmacocinetice ale quetiapinei nu au fost modificate ca urmare a administrării concomitente de cimetidină.</w:t>
      </w:r>
    </w:p>
    <w:p w14:paraId="593C112E" w14:textId="77777777" w:rsidR="00BB2FE9" w:rsidRPr="00270D5B" w:rsidRDefault="00BB2FE9" w:rsidP="001E27C3">
      <w:pPr>
        <w:spacing w:after="0"/>
        <w:jc w:val="both"/>
        <w:rPr>
          <w:rFonts w:ascii="Times New Roman" w:hAnsi="Times New Roman" w:cs="Times New Roman"/>
          <w:sz w:val="24"/>
          <w:szCs w:val="24"/>
          <w:lang w:val="ro-RO"/>
        </w:rPr>
      </w:pPr>
    </w:p>
    <w:p w14:paraId="6FCD7367" w14:textId="77777777"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Proprietăţile farmacocinetice ale litiului nu s-au modificat când a fost administrat în asociere cu quetiapină.</w:t>
      </w:r>
    </w:p>
    <w:p w14:paraId="77077417" w14:textId="77777777" w:rsidR="00BB2FE9" w:rsidRPr="00270D5B" w:rsidRDefault="00BB2FE9" w:rsidP="001E27C3">
      <w:pPr>
        <w:spacing w:after="0"/>
        <w:jc w:val="both"/>
        <w:rPr>
          <w:rFonts w:ascii="Times New Roman" w:hAnsi="Times New Roman" w:cs="Times New Roman"/>
          <w:sz w:val="24"/>
          <w:szCs w:val="24"/>
          <w:lang w:val="ro-RO"/>
        </w:rPr>
      </w:pPr>
    </w:p>
    <w:p w14:paraId="37D11DBF" w14:textId="3A819638"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Într-un studiu randomizat cu o durată de 6 săptămâni, în cadrul căruia s-a comparat administrarea concomitentă de litiu şi Keday XR cu utilizarea de placebo şi Keday XR la pacienţi adulţi cu manie acută, a fost observată o incidenţă mai mare a evenimentelor extrapiramidale (în special tremor), </w:t>
      </w:r>
      <w:r w:rsidRPr="00270D5B">
        <w:rPr>
          <w:rFonts w:ascii="Times New Roman" w:hAnsi="Times New Roman" w:cs="Times New Roman"/>
          <w:sz w:val="24"/>
          <w:szCs w:val="24"/>
          <w:lang w:val="ro-RO"/>
        </w:rPr>
        <w:lastRenderedPageBreak/>
        <w:t>somnolenţei şi creşterii în greutate în grupul la care s-a administrat litiu în asociere, comparativ cu grupul la care s-a administrat asociat placebo (vezi şi pct. 5.1).</w:t>
      </w:r>
    </w:p>
    <w:p w14:paraId="617789DA" w14:textId="77777777" w:rsidR="00BB2FE9" w:rsidRPr="00270D5B" w:rsidRDefault="00BB2FE9" w:rsidP="001E27C3">
      <w:pPr>
        <w:spacing w:after="0"/>
        <w:jc w:val="both"/>
        <w:rPr>
          <w:rFonts w:ascii="Times New Roman" w:hAnsi="Times New Roman" w:cs="Times New Roman"/>
          <w:sz w:val="24"/>
          <w:szCs w:val="24"/>
          <w:lang w:val="ro-RO"/>
        </w:rPr>
      </w:pPr>
    </w:p>
    <w:p w14:paraId="6C6EEE71" w14:textId="77777777"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Proprietăţile farmacocinetice ale valproatului de sodiu şi ale quetiapinei nu au fost modificate într-o măsură care să fie relevantă din punct de vedere clinic când aceste două medicamente au fost administrate concomitent. Un studiu retrospectiv efectuat la copii şi adolescenţi trataţi cu valproat, quetiapină sau ambele, a arătat o incidenţă crescută a leucopeniei şi neutropeniei în grupul la care s-a administrat terapia combinată comparativ cu grupul la care s-a utilizat monoterapia.</w:t>
      </w:r>
    </w:p>
    <w:p w14:paraId="3BE1BB18" w14:textId="77777777" w:rsidR="00BB2FE9" w:rsidRPr="00270D5B" w:rsidRDefault="00BB2FE9" w:rsidP="001E27C3">
      <w:pPr>
        <w:spacing w:after="0"/>
        <w:jc w:val="both"/>
        <w:rPr>
          <w:rFonts w:ascii="Times New Roman" w:hAnsi="Times New Roman" w:cs="Times New Roman"/>
          <w:sz w:val="24"/>
          <w:szCs w:val="24"/>
          <w:lang w:val="ro-RO"/>
        </w:rPr>
      </w:pPr>
    </w:p>
    <w:p w14:paraId="76BE5EE2" w14:textId="77777777"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Nu s-au efectuat studii cu privire la interacţiunile specifice cu medicamentele cardiovasculare utilizate în mod obişnuit.</w:t>
      </w:r>
    </w:p>
    <w:p w14:paraId="1243F1C3" w14:textId="77777777" w:rsidR="00BB2FE9" w:rsidRPr="00270D5B" w:rsidRDefault="00BB2FE9" w:rsidP="001E27C3">
      <w:pPr>
        <w:spacing w:after="0"/>
        <w:jc w:val="both"/>
        <w:rPr>
          <w:rFonts w:ascii="Times New Roman" w:hAnsi="Times New Roman" w:cs="Times New Roman"/>
          <w:sz w:val="24"/>
          <w:szCs w:val="24"/>
          <w:lang w:val="ro-RO"/>
        </w:rPr>
      </w:pPr>
    </w:p>
    <w:p w14:paraId="004AEB6F" w14:textId="77777777"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Este necesară prudenţă la administrarea concomitentă a quetiapinei cu medicamente care pot influenţa echilibrul hidro-electrolitic sau pot prelungi intervalul QT.</w:t>
      </w:r>
    </w:p>
    <w:p w14:paraId="016D2C6E" w14:textId="77777777" w:rsidR="00BB2FE9" w:rsidRPr="00270D5B" w:rsidRDefault="00BB2FE9" w:rsidP="001E27C3">
      <w:pPr>
        <w:spacing w:after="0"/>
        <w:jc w:val="both"/>
        <w:rPr>
          <w:rFonts w:ascii="Times New Roman" w:hAnsi="Times New Roman" w:cs="Times New Roman"/>
          <w:sz w:val="24"/>
          <w:szCs w:val="24"/>
          <w:lang w:val="ro-RO"/>
        </w:rPr>
      </w:pPr>
    </w:p>
    <w:p w14:paraId="6E7A0D3C" w14:textId="5536A105" w:rsidR="000E3F04"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Au fost raportate rezultate fals pozitive ale determinărilor imunoenzimatice pentru metadonă şi antidepresivele triciclice la pacienţii trataţi cu quetiapină. Este recomandată confirmarea rezultatelor fals pozitive de screening printr-o tehnică cromatografică adecvată.</w:t>
      </w:r>
    </w:p>
    <w:p w14:paraId="59122F3D" w14:textId="77777777" w:rsidR="001E27C3" w:rsidRPr="00270D5B" w:rsidRDefault="001E27C3" w:rsidP="002B222E">
      <w:pPr>
        <w:spacing w:after="0"/>
        <w:jc w:val="both"/>
        <w:rPr>
          <w:rFonts w:ascii="Times New Roman" w:hAnsi="Times New Roman" w:cs="Times New Roman"/>
          <w:sz w:val="24"/>
          <w:szCs w:val="24"/>
          <w:lang w:val="ro-RO"/>
        </w:rPr>
      </w:pPr>
    </w:p>
    <w:p w14:paraId="2FF66A2B" w14:textId="2871032D" w:rsidR="00170B94"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 xml:space="preserve">4.6 </w:t>
      </w:r>
      <w:r w:rsidR="00602FFA" w:rsidRPr="00270D5B">
        <w:rPr>
          <w:rFonts w:ascii="Times New Roman" w:hAnsi="Times New Roman" w:cs="Times New Roman"/>
          <w:b/>
          <w:bCs/>
          <w:sz w:val="24"/>
          <w:szCs w:val="24"/>
          <w:lang w:val="ro-RO"/>
        </w:rPr>
        <w:t>S</w:t>
      </w:r>
      <w:r w:rsidRPr="00270D5B">
        <w:rPr>
          <w:rFonts w:ascii="Times New Roman" w:hAnsi="Times New Roman" w:cs="Times New Roman"/>
          <w:b/>
          <w:bCs/>
          <w:sz w:val="24"/>
          <w:szCs w:val="24"/>
          <w:lang w:val="ro-RO"/>
        </w:rPr>
        <w:t>arcina şi alăptarea</w:t>
      </w:r>
    </w:p>
    <w:p w14:paraId="46DB735E" w14:textId="77777777" w:rsidR="00FE15A1" w:rsidRPr="00270D5B" w:rsidRDefault="00FE15A1" w:rsidP="002B222E">
      <w:pPr>
        <w:spacing w:after="0"/>
        <w:jc w:val="both"/>
        <w:rPr>
          <w:rFonts w:ascii="Times New Roman" w:hAnsi="Times New Roman" w:cs="Times New Roman"/>
          <w:b/>
          <w:bCs/>
          <w:sz w:val="24"/>
          <w:szCs w:val="24"/>
          <w:lang w:val="ro-RO"/>
        </w:rPr>
      </w:pPr>
    </w:p>
    <w:p w14:paraId="3E4C39F8" w14:textId="77777777" w:rsidR="00602FFA" w:rsidRPr="00FE15A1" w:rsidRDefault="00602FFA" w:rsidP="002B222E">
      <w:pPr>
        <w:spacing w:after="0"/>
        <w:jc w:val="both"/>
        <w:rPr>
          <w:rFonts w:ascii="Times New Roman" w:hAnsi="Times New Roman" w:cs="Times New Roman"/>
          <w:b/>
          <w:bCs/>
          <w:sz w:val="24"/>
          <w:szCs w:val="24"/>
          <w:lang w:val="ro-RO"/>
        </w:rPr>
      </w:pPr>
      <w:r w:rsidRPr="00FE15A1">
        <w:rPr>
          <w:rFonts w:ascii="Times New Roman" w:hAnsi="Times New Roman" w:cs="Times New Roman"/>
          <w:b/>
          <w:bCs/>
          <w:i/>
          <w:iCs/>
          <w:sz w:val="24"/>
          <w:szCs w:val="24"/>
          <w:lang w:val="ro-RO"/>
        </w:rPr>
        <w:t xml:space="preserve">Sarcina </w:t>
      </w:r>
      <w:r w:rsidRPr="00FE15A1">
        <w:rPr>
          <w:rFonts w:ascii="Times New Roman" w:hAnsi="Times New Roman" w:cs="Times New Roman"/>
          <w:b/>
          <w:bCs/>
          <w:sz w:val="24"/>
          <w:szCs w:val="24"/>
          <w:lang w:val="ro-RO"/>
        </w:rPr>
        <w:t xml:space="preserve"> </w:t>
      </w:r>
    </w:p>
    <w:p w14:paraId="1EF0B92D" w14:textId="77777777" w:rsidR="001E27C3" w:rsidRPr="00270D5B" w:rsidRDefault="001E27C3" w:rsidP="001E27C3">
      <w:pPr>
        <w:spacing w:after="0"/>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Primul trimestru</w:t>
      </w:r>
    </w:p>
    <w:p w14:paraId="77D71EDD" w14:textId="13FCACB5" w:rsidR="00602FFA"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Cantitatea moderată de date publicate din evoluţia sarcinilor expuse (între 330-1000 de sarcini duse la termen), colectate atât de la cazuri individuale cât şi din studii observaţionale, nu sugerează un risc crescut de malformaţii cauzate de tratament. Totuşi, pe baza datelor disponibile, nu se poate trage o concluzie definitivă. Studiile la animale au arătat toxicitate asupra funcţiei de reproducere. (vezi pct. 5.3). De aceea, quetiapina trebuie utilizată în timpul sarcinii numai dacă beneficiile justifică riscurile potenţiale.</w:t>
      </w:r>
    </w:p>
    <w:p w14:paraId="7561C7F5" w14:textId="77777777" w:rsidR="001E27C3" w:rsidRPr="00270D5B" w:rsidRDefault="001E27C3" w:rsidP="002B222E">
      <w:pPr>
        <w:spacing w:after="0"/>
        <w:jc w:val="both"/>
        <w:rPr>
          <w:rFonts w:ascii="Times New Roman" w:hAnsi="Times New Roman" w:cs="Times New Roman"/>
          <w:i/>
          <w:iCs/>
          <w:sz w:val="24"/>
          <w:szCs w:val="24"/>
          <w:lang w:val="ro-RO"/>
        </w:rPr>
      </w:pPr>
    </w:p>
    <w:p w14:paraId="6A105A50" w14:textId="77777777" w:rsidR="001E27C3" w:rsidRPr="00270D5B" w:rsidRDefault="001E27C3" w:rsidP="001E27C3">
      <w:pPr>
        <w:spacing w:after="0"/>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Trimestrul al treilea</w:t>
      </w:r>
    </w:p>
    <w:p w14:paraId="10658F63" w14:textId="77777777"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Nou-născuţii expuşi la antipsihotice (inclusiv quetiapină) în timpul celui de-al treilea trimestru de sarcină prezintă risc de reacţii adverse incluzând simptome extrapiramidale şi/sau de întrerupere care pot varia ca gravitate şi durată după naştere. S-au raportat agitaţie, hipertonie, hipotonie, tremor, somnolenţă, detresă respiratorie sau tulburări alimentare. Nou-născuţii trebuie monitorizaţi cu atenţie.</w:t>
      </w:r>
    </w:p>
    <w:p w14:paraId="6B4BE2B6" w14:textId="77777777" w:rsidR="001E27C3" w:rsidRPr="00270D5B" w:rsidRDefault="001E27C3" w:rsidP="001E27C3">
      <w:pPr>
        <w:spacing w:after="0"/>
        <w:jc w:val="both"/>
        <w:rPr>
          <w:rFonts w:ascii="Times New Roman" w:hAnsi="Times New Roman" w:cs="Times New Roman"/>
          <w:sz w:val="24"/>
          <w:szCs w:val="24"/>
          <w:lang w:val="ro-RO"/>
        </w:rPr>
      </w:pPr>
    </w:p>
    <w:p w14:paraId="233A7C5E" w14:textId="43248695" w:rsidR="001E27C3" w:rsidRPr="00270D5B" w:rsidRDefault="001E27C3" w:rsidP="001E27C3">
      <w:pPr>
        <w:spacing w:after="0"/>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Alăptarea</w:t>
      </w:r>
    </w:p>
    <w:p w14:paraId="15C1ECDB" w14:textId="417B2FCD" w:rsidR="001E27C3"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Pe baza unor date foarte limitate ce provin din rapoarte publice cu privire la excreţia quetiapinei în laptele matern, se pare că la doze terapeutice excreţia quetiapinei este inconstantă. În lipsa unor date ferme, trebuie luată o decizie cu privire la întreruperea alăptării sau a tratamentului cu Keday XR, luând în considerare beneficiile alăptării la sân pentru copil şi beneficiile tratamentului pentru femeie.</w:t>
      </w:r>
    </w:p>
    <w:p w14:paraId="4BA844B5" w14:textId="2DE5A0D1" w:rsidR="001E27C3" w:rsidRPr="00270D5B" w:rsidRDefault="001E27C3" w:rsidP="001E27C3">
      <w:pPr>
        <w:spacing w:after="0"/>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lastRenderedPageBreak/>
        <w:t>Fertilitatea</w:t>
      </w:r>
    </w:p>
    <w:p w14:paraId="473C5037" w14:textId="1160A19C" w:rsidR="00602FFA" w:rsidRPr="00270D5B" w:rsidRDefault="001E27C3" w:rsidP="001E27C3">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Efectul quetiapinei asupra fertilităţii nu a fost evaluat la om. Efecte referitoare la creşterea prolactinemiei au fost observate la şoareci, deşi acestea nu sunt relevante la om (vezi pct. 5.3 Date preclinice de siguranţă).</w:t>
      </w:r>
    </w:p>
    <w:p w14:paraId="5FDD29FF" w14:textId="77777777" w:rsidR="001E27C3" w:rsidRPr="00270D5B" w:rsidRDefault="001E27C3" w:rsidP="001E27C3">
      <w:pPr>
        <w:spacing w:after="0"/>
        <w:jc w:val="both"/>
        <w:rPr>
          <w:rFonts w:ascii="Times New Roman" w:hAnsi="Times New Roman" w:cs="Times New Roman"/>
          <w:sz w:val="24"/>
          <w:szCs w:val="24"/>
          <w:lang w:val="ro-RO"/>
        </w:rPr>
      </w:pPr>
    </w:p>
    <w:p w14:paraId="3E2CE852"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4.7 Efecte asupra capacităţii de a conduce vehicule şi de a folosi utilaje</w:t>
      </w:r>
    </w:p>
    <w:p w14:paraId="1F9A8915" w14:textId="77777777" w:rsidR="001E27C3" w:rsidRPr="00270D5B" w:rsidRDefault="001E27C3"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Deoarece acţionează în principal asupra sistemului nervos central, quetiapina poate influenţa activităţi care necesită o atenţie crescută. De aceea, pacienţii trebuie sfătuiţi să nu conducă sau să folosească utilaje, până când nu este cunoscută sensibilitatea individuală în ceea ce priveşte afectarea acestor activităţi. </w:t>
      </w:r>
    </w:p>
    <w:p w14:paraId="6A662DC0" w14:textId="77777777" w:rsidR="001E27C3" w:rsidRPr="00270D5B" w:rsidRDefault="001E27C3" w:rsidP="002B222E">
      <w:pPr>
        <w:spacing w:after="0"/>
        <w:jc w:val="both"/>
        <w:rPr>
          <w:rFonts w:ascii="Times New Roman" w:hAnsi="Times New Roman" w:cs="Times New Roman"/>
          <w:sz w:val="24"/>
          <w:szCs w:val="24"/>
          <w:lang w:val="ro-RO"/>
        </w:rPr>
      </w:pPr>
    </w:p>
    <w:p w14:paraId="17910041" w14:textId="0689AAB2"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4.8 Reacţii adverse</w:t>
      </w:r>
    </w:p>
    <w:p w14:paraId="305C8E84" w14:textId="77777777" w:rsidR="00ED21CD" w:rsidRPr="00270D5B" w:rsidRDefault="00ED21CD" w:rsidP="00ED21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Reacţiile adverse la medicament (RAM) raportate cel mai frecvent în cazul quetiapinei (≥10%) sunt somnolenţă, ameţeli, cefalee, xerostomie, simptome de sevraj (întrerupere), creşteri ale nivelului trigliceridelor serice, creşteri ale colesterolului total (colesterol predominant LDL), scăderea colesterolului HDL, creştere în greutate, scăderea hemoglobinei şi simptome extrapiramidale </w:t>
      </w:r>
    </w:p>
    <w:p w14:paraId="653D6C01" w14:textId="69D42429" w:rsidR="00ED21CD" w:rsidRPr="00270D5B" w:rsidRDefault="00ED21CD" w:rsidP="00ED21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Incidenţa apariţiei RAM asociate cu tratamentul cu quetiapină este prezentată în tabelul de mai jos (Tabelul 1), în conformitate cu formatul recomandat de către Consiliul pentru Organizaţiile Internaţionale ale Ştiinţelor Medicale (Grupul de lucru CIOMS III; 1995).</w:t>
      </w:r>
    </w:p>
    <w:p w14:paraId="48335802" w14:textId="77777777" w:rsidR="00ED21CD" w:rsidRPr="00270D5B" w:rsidRDefault="00ED21CD" w:rsidP="002B222E">
      <w:pPr>
        <w:spacing w:after="0"/>
        <w:jc w:val="both"/>
        <w:rPr>
          <w:rFonts w:ascii="Times New Roman" w:hAnsi="Times New Roman" w:cs="Times New Roman"/>
          <w:sz w:val="24"/>
          <w:szCs w:val="24"/>
          <w:lang w:val="ro-RO"/>
        </w:rPr>
      </w:pPr>
    </w:p>
    <w:p w14:paraId="38621635" w14:textId="2EF89A85" w:rsidR="00ED21CD" w:rsidRPr="00270D5B" w:rsidRDefault="00ED21CD" w:rsidP="002B222E">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Tabelul 1 RAM asociate cu tratamentul cu quetiapină</w:t>
      </w:r>
    </w:p>
    <w:p w14:paraId="243430F5" w14:textId="77777777" w:rsidR="00ED21CD" w:rsidRPr="00270D5B" w:rsidRDefault="00ED21CD" w:rsidP="002B222E">
      <w:pPr>
        <w:spacing w:after="0"/>
        <w:jc w:val="both"/>
        <w:rPr>
          <w:rFonts w:ascii="Times New Roman" w:hAnsi="Times New Roman" w:cs="Times New Roman"/>
          <w:sz w:val="24"/>
          <w:szCs w:val="24"/>
          <w:lang w:val="ro-RO"/>
        </w:rPr>
      </w:pPr>
    </w:p>
    <w:p w14:paraId="1A93C02E" w14:textId="5235078F" w:rsidR="00ED21CD" w:rsidRPr="00270D5B" w:rsidRDefault="00ED21CD"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Convenţia folosită pentru estimarea frecvenţei: foarte frecvente (≥1/10), frecvente (≥1/100 şi &lt;1/10), mai puţin frecvente (≥1/1000 şi &lt;1/100), rare (≥1/10000 şi &lt;1/1000), foarte rare (&lt;1/10000) şi cu frecvenţă necunoscută (frecvenţa nu poate fi estimată pe baza datelor disponibile).</w:t>
      </w:r>
    </w:p>
    <w:p w14:paraId="6EAD95CC" w14:textId="77777777" w:rsidR="00ED21CD" w:rsidRPr="00270D5B" w:rsidRDefault="00ED21CD" w:rsidP="002B222E">
      <w:pPr>
        <w:spacing w:after="0"/>
        <w:jc w:val="both"/>
        <w:rPr>
          <w:rFonts w:ascii="Times New Roman" w:hAnsi="Times New Roman" w:cs="Times New Roman"/>
          <w:sz w:val="24"/>
          <w:szCs w:val="24"/>
          <w:lang w:val="ro-RO"/>
        </w:rPr>
      </w:pPr>
    </w:p>
    <w:tbl>
      <w:tblPr>
        <w:tblStyle w:val="TableGrid"/>
        <w:tblW w:w="11118" w:type="dxa"/>
        <w:tblInd w:w="-856" w:type="dxa"/>
        <w:tblLayout w:type="fixed"/>
        <w:tblLook w:val="04A0" w:firstRow="1" w:lastRow="0" w:firstColumn="1" w:lastColumn="0" w:noHBand="0" w:noVBand="1"/>
      </w:tblPr>
      <w:tblGrid>
        <w:gridCol w:w="1560"/>
        <w:gridCol w:w="1701"/>
        <w:gridCol w:w="1559"/>
        <w:gridCol w:w="1701"/>
        <w:gridCol w:w="1560"/>
        <w:gridCol w:w="1701"/>
        <w:gridCol w:w="1336"/>
      </w:tblGrid>
      <w:tr w:rsidR="00F375D3" w:rsidRPr="00270D5B" w14:paraId="475CFC07" w14:textId="77777777" w:rsidTr="00844A0B">
        <w:tc>
          <w:tcPr>
            <w:tcW w:w="1560" w:type="dxa"/>
          </w:tcPr>
          <w:p w14:paraId="66066DE2" w14:textId="7DB0B96F" w:rsidR="00C21DDB" w:rsidRPr="00270D5B" w:rsidRDefault="00C21DDB"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Clasificare pe aparate, sisteme şi organe</w:t>
            </w:r>
          </w:p>
        </w:tc>
        <w:tc>
          <w:tcPr>
            <w:tcW w:w="1701" w:type="dxa"/>
          </w:tcPr>
          <w:p w14:paraId="1FB257D6" w14:textId="24DFE67B" w:rsidR="00C21DDB" w:rsidRPr="00270D5B" w:rsidRDefault="00C21DDB"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Foarte frecvente</w:t>
            </w:r>
          </w:p>
        </w:tc>
        <w:tc>
          <w:tcPr>
            <w:tcW w:w="1559" w:type="dxa"/>
          </w:tcPr>
          <w:p w14:paraId="17E081B7" w14:textId="26567D9F" w:rsidR="00C21DDB" w:rsidRPr="00270D5B" w:rsidRDefault="00C21DDB"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Frecvente</w:t>
            </w:r>
          </w:p>
        </w:tc>
        <w:tc>
          <w:tcPr>
            <w:tcW w:w="1701" w:type="dxa"/>
          </w:tcPr>
          <w:p w14:paraId="1ADCFC36" w14:textId="5EFC3437" w:rsidR="00C21DDB" w:rsidRPr="00270D5B" w:rsidRDefault="00C21DDB"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Mai puţin frecvente</w:t>
            </w:r>
          </w:p>
        </w:tc>
        <w:tc>
          <w:tcPr>
            <w:tcW w:w="1560" w:type="dxa"/>
          </w:tcPr>
          <w:p w14:paraId="2AC455F8" w14:textId="032FE1F5" w:rsidR="00C21DDB" w:rsidRPr="00270D5B" w:rsidRDefault="00C21DDB"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Rare</w:t>
            </w:r>
          </w:p>
        </w:tc>
        <w:tc>
          <w:tcPr>
            <w:tcW w:w="1701" w:type="dxa"/>
          </w:tcPr>
          <w:p w14:paraId="4922E755" w14:textId="5FCC019C" w:rsidR="00C21DDB" w:rsidRPr="00270D5B" w:rsidRDefault="00C21DDB"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Foarte rare</w:t>
            </w:r>
          </w:p>
        </w:tc>
        <w:tc>
          <w:tcPr>
            <w:tcW w:w="1336" w:type="dxa"/>
          </w:tcPr>
          <w:p w14:paraId="5B11725B" w14:textId="4FD7B812" w:rsidR="00C21DDB" w:rsidRPr="00270D5B" w:rsidRDefault="00C21DDB"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Cu frecvenţă necunoscută</w:t>
            </w:r>
          </w:p>
        </w:tc>
      </w:tr>
      <w:tr w:rsidR="00F375D3" w:rsidRPr="00270D5B" w14:paraId="28952E36" w14:textId="77777777" w:rsidTr="00844A0B">
        <w:tc>
          <w:tcPr>
            <w:tcW w:w="1560" w:type="dxa"/>
          </w:tcPr>
          <w:p w14:paraId="553D72C1" w14:textId="208953D9"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hematologice şi limfatice</w:t>
            </w:r>
          </w:p>
        </w:tc>
        <w:tc>
          <w:tcPr>
            <w:tcW w:w="1701" w:type="dxa"/>
          </w:tcPr>
          <w:p w14:paraId="31684AA1" w14:textId="31D29843"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Scăderea hemoglobinei</w:t>
            </w:r>
            <w:r w:rsidRPr="00270D5B">
              <w:rPr>
                <w:rFonts w:ascii="Times New Roman" w:hAnsi="Times New Roman" w:cs="Times New Roman"/>
                <w:sz w:val="24"/>
                <w:szCs w:val="24"/>
                <w:vertAlign w:val="superscript"/>
                <w:lang w:val="ro-RO"/>
              </w:rPr>
              <w:t>22</w:t>
            </w:r>
          </w:p>
        </w:tc>
        <w:tc>
          <w:tcPr>
            <w:tcW w:w="1559" w:type="dxa"/>
          </w:tcPr>
          <w:p w14:paraId="0903C747" w14:textId="370850C3"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Leucopenie</w:t>
            </w:r>
            <w:r w:rsidRPr="00270D5B">
              <w:rPr>
                <w:rFonts w:ascii="Times New Roman" w:hAnsi="Times New Roman" w:cs="Times New Roman"/>
                <w:sz w:val="24"/>
                <w:szCs w:val="24"/>
                <w:vertAlign w:val="superscript"/>
                <w:lang w:val="ro-RO"/>
              </w:rPr>
              <w:t>1, 28</w:t>
            </w:r>
            <w:r w:rsidRPr="00270D5B">
              <w:rPr>
                <w:rFonts w:ascii="Times New Roman" w:hAnsi="Times New Roman" w:cs="Times New Roman"/>
                <w:sz w:val="24"/>
                <w:szCs w:val="24"/>
                <w:lang w:val="ro-RO"/>
              </w:rPr>
              <w:t xml:space="preserve"> scăderea numărului de neutrofile</w:t>
            </w:r>
            <w:r w:rsidRPr="00270D5B">
              <w:rPr>
                <w:rFonts w:ascii="Times New Roman" w:hAnsi="Times New Roman" w:cs="Times New Roman"/>
                <w:sz w:val="24"/>
                <w:szCs w:val="24"/>
                <w:vertAlign w:val="superscript"/>
                <w:lang w:val="ro-RO"/>
              </w:rPr>
              <w:t>1</w:t>
            </w:r>
            <w:r w:rsidRPr="00270D5B">
              <w:rPr>
                <w:rFonts w:ascii="Times New Roman" w:hAnsi="Times New Roman" w:cs="Times New Roman"/>
                <w:sz w:val="24"/>
                <w:szCs w:val="24"/>
                <w:lang w:val="ro-RO"/>
              </w:rPr>
              <w:t>, creşterea numărului de eozinofile</w:t>
            </w:r>
            <w:r w:rsidRPr="00270D5B">
              <w:rPr>
                <w:rFonts w:ascii="Times New Roman" w:hAnsi="Times New Roman" w:cs="Times New Roman"/>
                <w:sz w:val="24"/>
                <w:szCs w:val="24"/>
                <w:vertAlign w:val="superscript"/>
                <w:lang w:val="ro-RO"/>
              </w:rPr>
              <w:t>27</w:t>
            </w:r>
          </w:p>
        </w:tc>
        <w:tc>
          <w:tcPr>
            <w:tcW w:w="1701" w:type="dxa"/>
          </w:tcPr>
          <w:p w14:paraId="71009886" w14:textId="1CEB5202"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Scăderea numărului de trombocite</w:t>
            </w:r>
            <w:r w:rsidRPr="00270D5B">
              <w:rPr>
                <w:rFonts w:ascii="Times New Roman" w:hAnsi="Times New Roman" w:cs="Times New Roman"/>
                <w:sz w:val="24"/>
                <w:szCs w:val="24"/>
                <w:vertAlign w:val="superscript"/>
                <w:lang w:val="ro-RO"/>
              </w:rPr>
              <w:t>13</w:t>
            </w:r>
            <w:r w:rsidRPr="00270D5B">
              <w:rPr>
                <w:rFonts w:ascii="Times New Roman" w:hAnsi="Times New Roman" w:cs="Times New Roman"/>
                <w:sz w:val="24"/>
                <w:szCs w:val="24"/>
                <w:lang w:val="ro-RO"/>
              </w:rPr>
              <w:t xml:space="preserve">, Anemie </w:t>
            </w:r>
            <w:r w:rsidRPr="00270D5B">
              <w:rPr>
                <w:rFonts w:ascii="Times New Roman" w:hAnsi="Times New Roman" w:cs="Times New Roman"/>
                <w:sz w:val="24"/>
                <w:szCs w:val="24"/>
                <w:vertAlign w:val="superscript"/>
                <w:lang w:val="ro-RO"/>
              </w:rPr>
              <w:t>13</w:t>
            </w:r>
          </w:p>
        </w:tc>
        <w:tc>
          <w:tcPr>
            <w:tcW w:w="1560" w:type="dxa"/>
          </w:tcPr>
          <w:p w14:paraId="5DC156B4" w14:textId="650A4E87" w:rsidR="00844A0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Agranuloci</w:t>
            </w:r>
            <w:r w:rsidR="00844A0B">
              <w:rPr>
                <w:rFonts w:ascii="Times New Roman" w:hAnsi="Times New Roman" w:cs="Times New Roman"/>
                <w:sz w:val="24"/>
                <w:szCs w:val="24"/>
                <w:lang w:val="ro-RO"/>
              </w:rPr>
              <w:t>-</w:t>
            </w:r>
          </w:p>
          <w:p w14:paraId="3EE8538D" w14:textId="5D281068" w:rsidR="00C21DDB" w:rsidRPr="00270D5B" w:rsidRDefault="00844A0B" w:rsidP="002B222E">
            <w:pPr>
              <w:jc w:val="both"/>
              <w:rPr>
                <w:rFonts w:ascii="Times New Roman" w:hAnsi="Times New Roman" w:cs="Times New Roman"/>
                <w:sz w:val="24"/>
                <w:szCs w:val="24"/>
                <w:lang w:val="ro-RO"/>
              </w:rPr>
            </w:pPr>
            <w:r>
              <w:rPr>
                <w:rFonts w:ascii="Times New Roman" w:hAnsi="Times New Roman" w:cs="Times New Roman"/>
                <w:sz w:val="24"/>
                <w:szCs w:val="24"/>
                <w:lang w:val="ro-RO"/>
              </w:rPr>
              <w:t>t</w:t>
            </w:r>
            <w:r w:rsidR="00C21DDB" w:rsidRPr="00270D5B">
              <w:rPr>
                <w:rFonts w:ascii="Times New Roman" w:hAnsi="Times New Roman" w:cs="Times New Roman"/>
                <w:sz w:val="24"/>
                <w:szCs w:val="24"/>
                <w:lang w:val="ro-RO"/>
              </w:rPr>
              <w:t>oza</w:t>
            </w:r>
            <w:r w:rsidR="00C21DDB" w:rsidRPr="00270D5B">
              <w:rPr>
                <w:rFonts w:ascii="Times New Roman" w:hAnsi="Times New Roman" w:cs="Times New Roman"/>
                <w:sz w:val="24"/>
                <w:szCs w:val="24"/>
                <w:vertAlign w:val="superscript"/>
                <w:lang w:val="ro-RO"/>
              </w:rPr>
              <w:t>26</w:t>
            </w:r>
          </w:p>
        </w:tc>
        <w:tc>
          <w:tcPr>
            <w:tcW w:w="1701" w:type="dxa"/>
          </w:tcPr>
          <w:p w14:paraId="71DA2043"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53E31625" w14:textId="57738EB2" w:rsidR="007207C5"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Neutro</w:t>
            </w:r>
            <w:r w:rsidR="00844A0B">
              <w:rPr>
                <w:rFonts w:ascii="Times New Roman" w:hAnsi="Times New Roman" w:cs="Times New Roman"/>
                <w:sz w:val="24"/>
                <w:szCs w:val="24"/>
                <w:lang w:val="ro-RO"/>
              </w:rPr>
              <w:t>-</w:t>
            </w:r>
          </w:p>
          <w:p w14:paraId="58149496" w14:textId="014875FD"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penie</w:t>
            </w:r>
            <w:r w:rsidRPr="00270D5B">
              <w:rPr>
                <w:rFonts w:ascii="Times New Roman" w:hAnsi="Times New Roman" w:cs="Times New Roman"/>
                <w:sz w:val="24"/>
                <w:szCs w:val="24"/>
                <w:vertAlign w:val="superscript"/>
                <w:lang w:val="ro-RO"/>
              </w:rPr>
              <w:t>1</w:t>
            </w:r>
          </w:p>
        </w:tc>
      </w:tr>
      <w:tr w:rsidR="00F375D3" w:rsidRPr="00270D5B" w14:paraId="6C699684" w14:textId="77777777" w:rsidTr="00844A0B">
        <w:tc>
          <w:tcPr>
            <w:tcW w:w="1560" w:type="dxa"/>
          </w:tcPr>
          <w:p w14:paraId="129F7865" w14:textId="1BA7A876"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ale sistemului imunitar</w:t>
            </w:r>
          </w:p>
        </w:tc>
        <w:tc>
          <w:tcPr>
            <w:tcW w:w="1701" w:type="dxa"/>
          </w:tcPr>
          <w:p w14:paraId="0ADA7EA8"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7B399CD7"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6C42CB94" w14:textId="4819B5D4"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Hipersensibilitate (incluzând reacţii alergice la nivelul pielii)</w:t>
            </w:r>
          </w:p>
        </w:tc>
        <w:tc>
          <w:tcPr>
            <w:tcW w:w="1560" w:type="dxa"/>
          </w:tcPr>
          <w:p w14:paraId="5988E71F"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741781ED" w14:textId="2BD9D471"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Reacţie anafilactică</w:t>
            </w:r>
            <w:r w:rsidRPr="00270D5B">
              <w:rPr>
                <w:rFonts w:ascii="Times New Roman" w:hAnsi="Times New Roman" w:cs="Times New Roman"/>
                <w:sz w:val="24"/>
                <w:szCs w:val="24"/>
                <w:vertAlign w:val="superscript"/>
                <w:lang w:val="ro-RO"/>
              </w:rPr>
              <w:t>5</w:t>
            </w:r>
          </w:p>
        </w:tc>
        <w:tc>
          <w:tcPr>
            <w:tcW w:w="1336" w:type="dxa"/>
          </w:tcPr>
          <w:p w14:paraId="44E04FFE"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4C1A7795" w14:textId="77777777" w:rsidTr="00844A0B">
        <w:tc>
          <w:tcPr>
            <w:tcW w:w="1560" w:type="dxa"/>
          </w:tcPr>
          <w:p w14:paraId="6F53B5A1" w14:textId="62354453"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lastRenderedPageBreak/>
              <w:t>Tulburări endocrine</w:t>
            </w:r>
          </w:p>
        </w:tc>
        <w:tc>
          <w:tcPr>
            <w:tcW w:w="1701" w:type="dxa"/>
          </w:tcPr>
          <w:p w14:paraId="796BE090"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157C6FF5" w14:textId="77777777" w:rsidR="007207C5"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Hiperprolactinemie</w:t>
            </w:r>
            <w:r w:rsidRPr="00270D5B">
              <w:rPr>
                <w:rFonts w:ascii="Times New Roman" w:hAnsi="Times New Roman" w:cs="Times New Roman"/>
                <w:sz w:val="24"/>
                <w:szCs w:val="24"/>
                <w:vertAlign w:val="superscript"/>
                <w:lang w:val="ro-RO"/>
              </w:rPr>
              <w:t>15</w:t>
            </w:r>
            <w:r w:rsidRPr="00270D5B">
              <w:rPr>
                <w:rFonts w:ascii="Times New Roman" w:hAnsi="Times New Roman" w:cs="Times New Roman"/>
                <w:sz w:val="24"/>
                <w:szCs w:val="24"/>
                <w:lang w:val="ro-RO"/>
              </w:rPr>
              <w:t>, scăderi ale concentraţi</w:t>
            </w:r>
            <w:r w:rsidR="007207C5">
              <w:rPr>
                <w:rFonts w:ascii="Times New Roman" w:hAnsi="Times New Roman" w:cs="Times New Roman"/>
                <w:sz w:val="24"/>
                <w:szCs w:val="24"/>
                <w:lang w:val="ro-RO"/>
              </w:rPr>
              <w:t>ei</w:t>
            </w:r>
            <w:r w:rsidRPr="00270D5B">
              <w:rPr>
                <w:rFonts w:ascii="Times New Roman" w:hAnsi="Times New Roman" w:cs="Times New Roman"/>
                <w:sz w:val="24"/>
                <w:szCs w:val="24"/>
                <w:lang w:val="ro-RO"/>
              </w:rPr>
              <w:t xml:space="preserve"> plasmatice ale T4</w:t>
            </w:r>
            <w:r w:rsidRPr="00270D5B">
              <w:rPr>
                <w:rFonts w:ascii="Times New Roman" w:hAnsi="Times New Roman" w:cs="Times New Roman"/>
                <w:sz w:val="24"/>
                <w:szCs w:val="24"/>
                <w:vertAlign w:val="superscript"/>
                <w:lang w:val="ro-RO"/>
              </w:rPr>
              <w:t>24</w:t>
            </w:r>
            <w:r w:rsidRPr="00270D5B">
              <w:rPr>
                <w:rFonts w:ascii="Times New Roman" w:hAnsi="Times New Roman" w:cs="Times New Roman"/>
                <w:sz w:val="24"/>
                <w:szCs w:val="24"/>
                <w:lang w:val="ro-RO"/>
              </w:rPr>
              <w:t>,</w:t>
            </w:r>
          </w:p>
          <w:p w14:paraId="3A92F6EA" w14:textId="4BB0A046"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 scăderi ale concentraţi</w:t>
            </w:r>
            <w:r w:rsidR="007207C5">
              <w:rPr>
                <w:rFonts w:ascii="Times New Roman" w:hAnsi="Times New Roman" w:cs="Times New Roman"/>
                <w:sz w:val="24"/>
                <w:szCs w:val="24"/>
                <w:lang w:val="ro-RO"/>
              </w:rPr>
              <w:t>ei</w:t>
            </w:r>
            <w:r w:rsidRPr="00270D5B">
              <w:rPr>
                <w:rFonts w:ascii="Times New Roman" w:hAnsi="Times New Roman" w:cs="Times New Roman"/>
                <w:sz w:val="24"/>
                <w:szCs w:val="24"/>
                <w:lang w:val="ro-RO"/>
              </w:rPr>
              <w:t xml:space="preserve"> plasmatice ale T4</w:t>
            </w:r>
            <w:r w:rsidRPr="00270D5B">
              <w:rPr>
                <w:rFonts w:ascii="Times New Roman" w:hAnsi="Times New Roman" w:cs="Times New Roman"/>
                <w:sz w:val="24"/>
                <w:szCs w:val="24"/>
                <w:vertAlign w:val="superscript"/>
                <w:lang w:val="ro-RO"/>
              </w:rPr>
              <w:t>24</w:t>
            </w:r>
            <w:r w:rsidRPr="00270D5B">
              <w:rPr>
                <w:rFonts w:ascii="Times New Roman" w:hAnsi="Times New Roman" w:cs="Times New Roman"/>
                <w:sz w:val="24"/>
                <w:szCs w:val="24"/>
                <w:lang w:val="ro-RO"/>
              </w:rPr>
              <w:t xml:space="preserve"> liber, scăderi ale T3</w:t>
            </w:r>
            <w:r w:rsidRPr="00270D5B">
              <w:rPr>
                <w:rFonts w:ascii="Times New Roman" w:hAnsi="Times New Roman" w:cs="Times New Roman"/>
                <w:sz w:val="24"/>
                <w:szCs w:val="24"/>
                <w:vertAlign w:val="superscript"/>
                <w:lang w:val="ro-RO"/>
              </w:rPr>
              <w:t>24</w:t>
            </w:r>
            <w:r w:rsidRPr="00270D5B">
              <w:rPr>
                <w:rFonts w:ascii="Times New Roman" w:hAnsi="Times New Roman" w:cs="Times New Roman"/>
                <w:sz w:val="24"/>
                <w:szCs w:val="24"/>
                <w:lang w:val="ro-RO"/>
              </w:rPr>
              <w:t xml:space="preserve"> total, creşteri ale concentraţi</w:t>
            </w:r>
            <w:r w:rsidR="007207C5">
              <w:rPr>
                <w:rFonts w:ascii="Times New Roman" w:hAnsi="Times New Roman" w:cs="Times New Roman"/>
                <w:sz w:val="24"/>
                <w:szCs w:val="24"/>
                <w:lang w:val="ro-RO"/>
              </w:rPr>
              <w:t>ei</w:t>
            </w:r>
            <w:r w:rsidRPr="00270D5B">
              <w:rPr>
                <w:rFonts w:ascii="Times New Roman" w:hAnsi="Times New Roman" w:cs="Times New Roman"/>
                <w:sz w:val="24"/>
                <w:szCs w:val="24"/>
                <w:lang w:val="ro-RO"/>
              </w:rPr>
              <w:t xml:space="preserve"> plasmatice ale TSH</w:t>
            </w:r>
            <w:r w:rsidRPr="00270D5B">
              <w:rPr>
                <w:rFonts w:ascii="Times New Roman" w:hAnsi="Times New Roman" w:cs="Times New Roman"/>
                <w:sz w:val="24"/>
                <w:szCs w:val="24"/>
                <w:vertAlign w:val="superscript"/>
                <w:lang w:val="ro-RO"/>
              </w:rPr>
              <w:t>24</w:t>
            </w:r>
          </w:p>
        </w:tc>
        <w:tc>
          <w:tcPr>
            <w:tcW w:w="1701" w:type="dxa"/>
          </w:tcPr>
          <w:p w14:paraId="33173990" w14:textId="27DAECC5"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Scăderi ale concentraţiilor plasmatice ale T3</w:t>
            </w:r>
            <w:r w:rsidRPr="00270D5B">
              <w:rPr>
                <w:rFonts w:ascii="Times New Roman" w:hAnsi="Times New Roman" w:cs="Times New Roman"/>
                <w:sz w:val="24"/>
                <w:szCs w:val="24"/>
                <w:vertAlign w:val="superscript"/>
                <w:lang w:val="ro-RO"/>
              </w:rPr>
              <w:t>24</w:t>
            </w:r>
            <w:r w:rsidRPr="00270D5B">
              <w:rPr>
                <w:rFonts w:ascii="Times New Roman" w:hAnsi="Times New Roman" w:cs="Times New Roman"/>
                <w:sz w:val="24"/>
                <w:szCs w:val="24"/>
                <w:lang w:val="ro-RO"/>
              </w:rPr>
              <w:t xml:space="preserve"> liber, Hipotiro</w:t>
            </w:r>
            <w:r w:rsidR="007207C5">
              <w:rPr>
                <w:rFonts w:ascii="Times New Roman" w:hAnsi="Times New Roman" w:cs="Times New Roman"/>
                <w:sz w:val="24"/>
                <w:szCs w:val="24"/>
                <w:lang w:val="ro-RO"/>
              </w:rPr>
              <w:t>-</w:t>
            </w:r>
            <w:r w:rsidRPr="00270D5B">
              <w:rPr>
                <w:rFonts w:ascii="Times New Roman" w:hAnsi="Times New Roman" w:cs="Times New Roman"/>
                <w:sz w:val="24"/>
                <w:szCs w:val="24"/>
                <w:lang w:val="ro-RO"/>
              </w:rPr>
              <w:t>idism</w:t>
            </w:r>
            <w:r w:rsidRPr="00270D5B">
              <w:rPr>
                <w:rFonts w:ascii="Times New Roman" w:hAnsi="Times New Roman" w:cs="Times New Roman"/>
                <w:sz w:val="24"/>
                <w:szCs w:val="24"/>
                <w:vertAlign w:val="superscript"/>
                <w:lang w:val="ro-RO"/>
              </w:rPr>
              <w:t>21</w:t>
            </w:r>
          </w:p>
        </w:tc>
        <w:tc>
          <w:tcPr>
            <w:tcW w:w="1560" w:type="dxa"/>
          </w:tcPr>
          <w:p w14:paraId="1D0818E4"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5AAF928E" w14:textId="73AEC0AD" w:rsidR="00C21DDB" w:rsidRPr="00270D5B" w:rsidRDefault="00C21DDB"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Secreţie inadecvată a hormonului antidiuretic</w:t>
            </w:r>
          </w:p>
        </w:tc>
        <w:tc>
          <w:tcPr>
            <w:tcW w:w="1336" w:type="dxa"/>
          </w:tcPr>
          <w:p w14:paraId="1C96467A"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26C67221" w14:textId="77777777" w:rsidTr="00844A0B">
        <w:tc>
          <w:tcPr>
            <w:tcW w:w="1560" w:type="dxa"/>
          </w:tcPr>
          <w:p w14:paraId="5A48D76C" w14:textId="19F5DF54"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metabolice şi de nutriţie</w:t>
            </w:r>
          </w:p>
        </w:tc>
        <w:tc>
          <w:tcPr>
            <w:tcW w:w="1701" w:type="dxa"/>
          </w:tcPr>
          <w:p w14:paraId="32D16279" w14:textId="17155DBC" w:rsidR="00F375D3"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Creşteri ale concentraţi</w:t>
            </w:r>
            <w:r w:rsidR="007207C5">
              <w:rPr>
                <w:rFonts w:ascii="Times New Roman" w:hAnsi="Times New Roman" w:cs="Times New Roman"/>
                <w:sz w:val="24"/>
                <w:szCs w:val="24"/>
                <w:lang w:val="ro-RO"/>
              </w:rPr>
              <w:t>ei</w:t>
            </w:r>
            <w:r w:rsidRPr="00270D5B">
              <w:rPr>
                <w:rFonts w:ascii="Times New Roman" w:hAnsi="Times New Roman" w:cs="Times New Roman"/>
                <w:sz w:val="24"/>
                <w:szCs w:val="24"/>
                <w:lang w:val="ro-RO"/>
              </w:rPr>
              <w:t xml:space="preserve"> serice de trigliceride</w:t>
            </w:r>
            <w:r w:rsidRPr="00270D5B">
              <w:rPr>
                <w:rFonts w:ascii="Times New Roman" w:hAnsi="Times New Roman" w:cs="Times New Roman"/>
                <w:sz w:val="24"/>
                <w:szCs w:val="24"/>
                <w:vertAlign w:val="superscript"/>
                <w:lang w:val="ro-RO"/>
              </w:rPr>
              <w:t>10,30</w:t>
            </w:r>
          </w:p>
          <w:p w14:paraId="25BB7FFE" w14:textId="77777777" w:rsidR="00F375D3"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Creşteri ale colesterolemiei totale (predominant LDL colesterol)</w:t>
            </w:r>
            <w:r w:rsidRPr="00270D5B">
              <w:rPr>
                <w:rFonts w:ascii="Times New Roman" w:hAnsi="Times New Roman" w:cs="Times New Roman"/>
                <w:sz w:val="24"/>
                <w:szCs w:val="24"/>
                <w:vertAlign w:val="superscript"/>
                <w:lang w:val="ro-RO"/>
              </w:rPr>
              <w:t>11, 30</w:t>
            </w:r>
          </w:p>
          <w:p w14:paraId="377D2DD1" w14:textId="1E69DDDF" w:rsidR="00C21DDB"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Scădere a concentraţiilor plasmatice ale HDL colesterol</w:t>
            </w:r>
            <w:r w:rsidRPr="00270D5B">
              <w:rPr>
                <w:rFonts w:ascii="Times New Roman" w:hAnsi="Times New Roman" w:cs="Times New Roman"/>
                <w:sz w:val="24"/>
                <w:szCs w:val="24"/>
                <w:vertAlign w:val="superscript"/>
                <w:lang w:val="ro-RO"/>
              </w:rPr>
              <w:t>17,30</w:t>
            </w:r>
            <w:r w:rsidRPr="00270D5B">
              <w:rPr>
                <w:rFonts w:ascii="Times New Roman" w:hAnsi="Times New Roman" w:cs="Times New Roman"/>
                <w:sz w:val="24"/>
                <w:szCs w:val="24"/>
                <w:lang w:val="ro-RO"/>
              </w:rPr>
              <w:t>, Creştere ponderală</w:t>
            </w:r>
            <w:r w:rsidRPr="00270D5B">
              <w:rPr>
                <w:rFonts w:ascii="Times New Roman" w:hAnsi="Times New Roman" w:cs="Times New Roman"/>
                <w:sz w:val="24"/>
                <w:szCs w:val="24"/>
                <w:vertAlign w:val="superscript"/>
                <w:lang w:val="ro-RO"/>
              </w:rPr>
              <w:t>8,30</w:t>
            </w:r>
          </w:p>
        </w:tc>
        <w:tc>
          <w:tcPr>
            <w:tcW w:w="1559" w:type="dxa"/>
          </w:tcPr>
          <w:p w14:paraId="58536DC3" w14:textId="073633F6"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Apetit alimentar crescut, creşterea glucozei în sânge până la valori hiperglicemi</w:t>
            </w:r>
            <w:r w:rsidR="00844A0B">
              <w:rPr>
                <w:rFonts w:ascii="Times New Roman" w:hAnsi="Times New Roman" w:cs="Times New Roman"/>
                <w:sz w:val="24"/>
                <w:szCs w:val="24"/>
                <w:lang w:val="ro-RO"/>
              </w:rPr>
              <w:t>-</w:t>
            </w:r>
            <w:r w:rsidRPr="00270D5B">
              <w:rPr>
                <w:rFonts w:ascii="Times New Roman" w:hAnsi="Times New Roman" w:cs="Times New Roman"/>
                <w:sz w:val="24"/>
                <w:szCs w:val="24"/>
                <w:lang w:val="ro-RO"/>
              </w:rPr>
              <w:t>ce</w:t>
            </w:r>
            <w:r w:rsidRPr="00270D5B">
              <w:rPr>
                <w:rFonts w:ascii="Times New Roman" w:hAnsi="Times New Roman" w:cs="Times New Roman"/>
                <w:sz w:val="24"/>
                <w:szCs w:val="24"/>
                <w:vertAlign w:val="superscript"/>
                <w:lang w:val="ro-RO"/>
              </w:rPr>
              <w:t>6,30</w:t>
            </w:r>
          </w:p>
        </w:tc>
        <w:tc>
          <w:tcPr>
            <w:tcW w:w="1701" w:type="dxa"/>
          </w:tcPr>
          <w:p w14:paraId="13A6AC95" w14:textId="7FDEC89E"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Hiponatre</w:t>
            </w:r>
            <w:r w:rsidR="007207C5">
              <w:rPr>
                <w:rFonts w:ascii="Times New Roman" w:hAnsi="Times New Roman" w:cs="Times New Roman"/>
                <w:sz w:val="24"/>
                <w:szCs w:val="24"/>
                <w:lang w:val="ro-RO"/>
              </w:rPr>
              <w:t>-</w:t>
            </w:r>
            <w:r w:rsidRPr="00270D5B">
              <w:rPr>
                <w:rFonts w:ascii="Times New Roman" w:hAnsi="Times New Roman" w:cs="Times New Roman"/>
                <w:sz w:val="24"/>
                <w:szCs w:val="24"/>
                <w:lang w:val="ro-RO"/>
              </w:rPr>
              <w:t>mie</w:t>
            </w:r>
            <w:r w:rsidRPr="00270D5B">
              <w:rPr>
                <w:rFonts w:ascii="Times New Roman" w:hAnsi="Times New Roman" w:cs="Times New Roman"/>
                <w:sz w:val="24"/>
                <w:szCs w:val="24"/>
                <w:vertAlign w:val="superscript"/>
                <w:lang w:val="ro-RO"/>
              </w:rPr>
              <w:t>19</w:t>
            </w:r>
            <w:r w:rsidRPr="00270D5B">
              <w:rPr>
                <w:rFonts w:ascii="Times New Roman" w:hAnsi="Times New Roman" w:cs="Times New Roman"/>
                <w:sz w:val="24"/>
                <w:szCs w:val="24"/>
                <w:lang w:val="ro-RO"/>
              </w:rPr>
              <w:t>, Diabet zaharat</w:t>
            </w:r>
            <w:r w:rsidRPr="00270D5B">
              <w:rPr>
                <w:rFonts w:ascii="Times New Roman" w:hAnsi="Times New Roman" w:cs="Times New Roman"/>
                <w:sz w:val="24"/>
                <w:szCs w:val="24"/>
                <w:vertAlign w:val="superscript"/>
                <w:lang w:val="ro-RO"/>
              </w:rPr>
              <w:t>1,5</w:t>
            </w:r>
          </w:p>
        </w:tc>
        <w:tc>
          <w:tcPr>
            <w:tcW w:w="1560" w:type="dxa"/>
          </w:tcPr>
          <w:p w14:paraId="7C378254" w14:textId="3FE0FAB6"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Sindrom metabolic</w:t>
            </w:r>
            <w:r w:rsidRPr="00270D5B">
              <w:rPr>
                <w:rFonts w:ascii="Times New Roman" w:hAnsi="Times New Roman" w:cs="Times New Roman"/>
                <w:sz w:val="24"/>
                <w:szCs w:val="24"/>
                <w:vertAlign w:val="superscript"/>
                <w:lang w:val="ro-RO"/>
              </w:rPr>
              <w:t>29</w:t>
            </w:r>
          </w:p>
        </w:tc>
        <w:tc>
          <w:tcPr>
            <w:tcW w:w="1701" w:type="dxa"/>
          </w:tcPr>
          <w:p w14:paraId="788FC52D" w14:textId="0219501E"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Exacerbare a unui diabet zaharat preexistent</w:t>
            </w:r>
          </w:p>
        </w:tc>
        <w:tc>
          <w:tcPr>
            <w:tcW w:w="1336" w:type="dxa"/>
          </w:tcPr>
          <w:p w14:paraId="3E8C4882"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404C9620" w14:textId="77777777" w:rsidTr="00844A0B">
        <w:tc>
          <w:tcPr>
            <w:tcW w:w="1560" w:type="dxa"/>
          </w:tcPr>
          <w:p w14:paraId="75DF6630" w14:textId="21714063"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psihice</w:t>
            </w:r>
          </w:p>
        </w:tc>
        <w:tc>
          <w:tcPr>
            <w:tcW w:w="1701" w:type="dxa"/>
          </w:tcPr>
          <w:p w14:paraId="16603501"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03DE1AB1" w14:textId="45740A0E"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Vise anormale şi coşmaruri, Ideaţie suicidară şi comporta</w:t>
            </w:r>
            <w:r w:rsidR="00844A0B">
              <w:rPr>
                <w:rFonts w:ascii="Times New Roman" w:hAnsi="Times New Roman" w:cs="Times New Roman"/>
                <w:sz w:val="24"/>
                <w:szCs w:val="24"/>
                <w:lang w:val="ro-RO"/>
              </w:rPr>
              <w:t>-</w:t>
            </w:r>
            <w:r w:rsidRPr="00270D5B">
              <w:rPr>
                <w:rFonts w:ascii="Times New Roman" w:hAnsi="Times New Roman" w:cs="Times New Roman"/>
                <w:sz w:val="24"/>
                <w:szCs w:val="24"/>
                <w:lang w:val="ro-RO"/>
              </w:rPr>
              <w:t>ment suicidar</w:t>
            </w:r>
            <w:r w:rsidRPr="00270D5B">
              <w:rPr>
                <w:rFonts w:ascii="Times New Roman" w:hAnsi="Times New Roman" w:cs="Times New Roman"/>
                <w:sz w:val="24"/>
                <w:szCs w:val="24"/>
                <w:vertAlign w:val="superscript"/>
                <w:lang w:val="ro-RO"/>
              </w:rPr>
              <w:t>20</w:t>
            </w:r>
          </w:p>
        </w:tc>
        <w:tc>
          <w:tcPr>
            <w:tcW w:w="1701" w:type="dxa"/>
          </w:tcPr>
          <w:p w14:paraId="7AB2BC08" w14:textId="77777777" w:rsidR="00C21DDB" w:rsidRPr="00270D5B" w:rsidRDefault="00C21DDB" w:rsidP="002B222E">
            <w:pPr>
              <w:jc w:val="both"/>
              <w:rPr>
                <w:rFonts w:ascii="Times New Roman" w:hAnsi="Times New Roman" w:cs="Times New Roman"/>
                <w:sz w:val="24"/>
                <w:szCs w:val="24"/>
                <w:lang w:val="ro-RO"/>
              </w:rPr>
            </w:pPr>
          </w:p>
        </w:tc>
        <w:tc>
          <w:tcPr>
            <w:tcW w:w="1560" w:type="dxa"/>
          </w:tcPr>
          <w:p w14:paraId="35E486E7" w14:textId="0FB2A2F1"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Somnambu</w:t>
            </w:r>
            <w:r w:rsidR="00844A0B">
              <w:rPr>
                <w:rFonts w:ascii="Times New Roman" w:hAnsi="Times New Roman" w:cs="Times New Roman"/>
                <w:sz w:val="24"/>
                <w:szCs w:val="24"/>
                <w:lang w:val="ro-RO"/>
              </w:rPr>
              <w:t>-</w:t>
            </w:r>
            <w:r w:rsidRPr="00270D5B">
              <w:rPr>
                <w:rFonts w:ascii="Times New Roman" w:hAnsi="Times New Roman" w:cs="Times New Roman"/>
                <w:sz w:val="24"/>
                <w:szCs w:val="24"/>
                <w:lang w:val="ro-RO"/>
              </w:rPr>
              <w:t>lism şi simptomatologie asociată ca vorbit în somn sau tulburări alimentare în somn</w:t>
            </w:r>
          </w:p>
        </w:tc>
        <w:tc>
          <w:tcPr>
            <w:tcW w:w="1701" w:type="dxa"/>
          </w:tcPr>
          <w:p w14:paraId="1B181979"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0695EA5D"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018693A6" w14:textId="77777777" w:rsidTr="00844A0B">
        <w:tc>
          <w:tcPr>
            <w:tcW w:w="1560" w:type="dxa"/>
          </w:tcPr>
          <w:p w14:paraId="7E1AA0C9" w14:textId="59E64E8C"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ale sistemului nervos</w:t>
            </w:r>
          </w:p>
        </w:tc>
        <w:tc>
          <w:tcPr>
            <w:tcW w:w="1701" w:type="dxa"/>
          </w:tcPr>
          <w:p w14:paraId="5E9730AF" w14:textId="7892BAE6" w:rsidR="00C21DDB" w:rsidRPr="00270D5B" w:rsidRDefault="00F375D3" w:rsidP="00325CCA">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Ameţeli</w:t>
            </w:r>
            <w:r w:rsidRPr="00270D5B">
              <w:rPr>
                <w:rFonts w:ascii="Times New Roman" w:hAnsi="Times New Roman" w:cs="Times New Roman"/>
                <w:sz w:val="24"/>
                <w:szCs w:val="24"/>
                <w:vertAlign w:val="superscript"/>
                <w:lang w:val="ro-RO"/>
              </w:rPr>
              <w:t>4, 16</w:t>
            </w:r>
            <w:r w:rsidRPr="00270D5B">
              <w:rPr>
                <w:rFonts w:ascii="Times New Roman" w:hAnsi="Times New Roman" w:cs="Times New Roman"/>
                <w:sz w:val="24"/>
                <w:szCs w:val="24"/>
                <w:lang w:val="ro-RO"/>
              </w:rPr>
              <w:t xml:space="preserve">, somnolenţă </w:t>
            </w:r>
            <w:r w:rsidRPr="00270D5B">
              <w:rPr>
                <w:rFonts w:ascii="Times New Roman" w:hAnsi="Times New Roman" w:cs="Times New Roman"/>
                <w:sz w:val="24"/>
                <w:szCs w:val="24"/>
                <w:vertAlign w:val="superscript"/>
                <w:lang w:val="ro-RO"/>
              </w:rPr>
              <w:t>2, 16</w:t>
            </w:r>
            <w:r w:rsidRPr="00270D5B">
              <w:rPr>
                <w:rFonts w:ascii="Times New Roman" w:hAnsi="Times New Roman" w:cs="Times New Roman"/>
                <w:sz w:val="24"/>
                <w:szCs w:val="24"/>
                <w:lang w:val="ro-RO"/>
              </w:rPr>
              <w:t xml:space="preserve">, cefalee, Simptome </w:t>
            </w:r>
            <w:r w:rsidRPr="00270D5B">
              <w:rPr>
                <w:rFonts w:ascii="Times New Roman" w:hAnsi="Times New Roman" w:cs="Times New Roman"/>
                <w:sz w:val="24"/>
                <w:szCs w:val="24"/>
                <w:lang w:val="ro-RO"/>
              </w:rPr>
              <w:lastRenderedPageBreak/>
              <w:t>extrapirami</w:t>
            </w:r>
            <w:r w:rsidR="007207C5">
              <w:rPr>
                <w:rFonts w:ascii="Times New Roman" w:hAnsi="Times New Roman" w:cs="Times New Roman"/>
                <w:sz w:val="24"/>
                <w:szCs w:val="24"/>
                <w:lang w:val="ro-RO"/>
              </w:rPr>
              <w:t>-</w:t>
            </w:r>
            <w:r w:rsidRPr="00270D5B">
              <w:rPr>
                <w:rFonts w:ascii="Times New Roman" w:hAnsi="Times New Roman" w:cs="Times New Roman"/>
                <w:sz w:val="24"/>
                <w:szCs w:val="24"/>
                <w:lang w:val="ro-RO"/>
              </w:rPr>
              <w:t>dale</w:t>
            </w:r>
            <w:r w:rsidRPr="00270D5B">
              <w:rPr>
                <w:rFonts w:ascii="Times New Roman" w:hAnsi="Times New Roman" w:cs="Times New Roman"/>
                <w:sz w:val="24"/>
                <w:szCs w:val="24"/>
                <w:vertAlign w:val="superscript"/>
                <w:lang w:val="ro-RO"/>
              </w:rPr>
              <w:t>1,</w:t>
            </w:r>
            <w:r w:rsidRPr="00270D5B">
              <w:rPr>
                <w:rFonts w:ascii="Times New Roman" w:hAnsi="Times New Roman" w:cs="Times New Roman"/>
                <w:sz w:val="24"/>
                <w:szCs w:val="24"/>
                <w:lang w:val="ro-RO"/>
              </w:rPr>
              <w:t xml:space="preserve"> </w:t>
            </w:r>
            <w:r w:rsidRPr="00270D5B">
              <w:rPr>
                <w:rFonts w:ascii="Times New Roman" w:hAnsi="Times New Roman" w:cs="Times New Roman"/>
                <w:sz w:val="24"/>
                <w:szCs w:val="24"/>
                <w:vertAlign w:val="superscript"/>
                <w:lang w:val="ro-RO"/>
              </w:rPr>
              <w:t>21</w:t>
            </w:r>
          </w:p>
        </w:tc>
        <w:tc>
          <w:tcPr>
            <w:tcW w:w="1559" w:type="dxa"/>
          </w:tcPr>
          <w:p w14:paraId="6933988A" w14:textId="3AABF8FF"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Dizartrie</w:t>
            </w:r>
          </w:p>
        </w:tc>
        <w:tc>
          <w:tcPr>
            <w:tcW w:w="1701" w:type="dxa"/>
          </w:tcPr>
          <w:p w14:paraId="7B6FE6B5" w14:textId="1F4C744C"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Convulsii</w:t>
            </w:r>
            <w:r w:rsidRPr="00270D5B">
              <w:rPr>
                <w:rFonts w:ascii="Times New Roman" w:hAnsi="Times New Roman" w:cs="Times New Roman"/>
                <w:sz w:val="24"/>
                <w:szCs w:val="24"/>
                <w:vertAlign w:val="superscript"/>
                <w:lang w:val="ro-RO"/>
              </w:rPr>
              <w:t>1</w:t>
            </w:r>
            <w:r w:rsidRPr="00270D5B">
              <w:rPr>
                <w:rFonts w:ascii="Times New Roman" w:hAnsi="Times New Roman" w:cs="Times New Roman"/>
                <w:sz w:val="24"/>
                <w:szCs w:val="24"/>
                <w:lang w:val="ro-RO"/>
              </w:rPr>
              <w:t xml:space="preserve">, Sindromul picioarelor neliniştite, </w:t>
            </w:r>
            <w:r w:rsidRPr="00270D5B">
              <w:rPr>
                <w:rFonts w:ascii="Times New Roman" w:hAnsi="Times New Roman" w:cs="Times New Roman"/>
                <w:sz w:val="24"/>
                <w:szCs w:val="24"/>
                <w:lang w:val="ro-RO"/>
              </w:rPr>
              <w:lastRenderedPageBreak/>
              <w:t>Dischinezie tardivă</w:t>
            </w:r>
            <w:r w:rsidRPr="00270D5B">
              <w:rPr>
                <w:rFonts w:ascii="Times New Roman" w:hAnsi="Times New Roman" w:cs="Times New Roman"/>
                <w:sz w:val="24"/>
                <w:szCs w:val="24"/>
                <w:vertAlign w:val="superscript"/>
                <w:lang w:val="ro-RO"/>
              </w:rPr>
              <w:t>1,5</w:t>
            </w:r>
            <w:r w:rsidRPr="00270D5B">
              <w:rPr>
                <w:rFonts w:ascii="Times New Roman" w:hAnsi="Times New Roman" w:cs="Times New Roman"/>
                <w:sz w:val="24"/>
                <w:szCs w:val="24"/>
                <w:lang w:val="ro-RO"/>
              </w:rPr>
              <w:t xml:space="preserve">, Sincopă </w:t>
            </w:r>
            <w:r w:rsidRPr="00270D5B">
              <w:rPr>
                <w:rFonts w:ascii="Times New Roman" w:hAnsi="Times New Roman" w:cs="Times New Roman"/>
                <w:sz w:val="24"/>
                <w:szCs w:val="24"/>
                <w:vertAlign w:val="superscript"/>
                <w:lang w:val="ro-RO"/>
              </w:rPr>
              <w:t>4, 16</w:t>
            </w:r>
          </w:p>
        </w:tc>
        <w:tc>
          <w:tcPr>
            <w:tcW w:w="1560" w:type="dxa"/>
          </w:tcPr>
          <w:p w14:paraId="0EF2A245"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0D47F5EE"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1CB25C2B"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784AB15A" w14:textId="77777777" w:rsidTr="00844A0B">
        <w:tc>
          <w:tcPr>
            <w:tcW w:w="1560" w:type="dxa"/>
          </w:tcPr>
          <w:p w14:paraId="52AC0AFD" w14:textId="4083310D"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cardiace</w:t>
            </w:r>
          </w:p>
        </w:tc>
        <w:tc>
          <w:tcPr>
            <w:tcW w:w="1701" w:type="dxa"/>
          </w:tcPr>
          <w:p w14:paraId="2D2E6287"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6786ADFB" w14:textId="5539F533"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Tahicardie</w:t>
            </w:r>
            <w:r w:rsidRPr="00270D5B">
              <w:rPr>
                <w:rFonts w:ascii="Times New Roman" w:hAnsi="Times New Roman" w:cs="Times New Roman"/>
                <w:sz w:val="24"/>
                <w:szCs w:val="24"/>
                <w:vertAlign w:val="superscript"/>
                <w:lang w:val="ro-RO"/>
              </w:rPr>
              <w:t>4</w:t>
            </w:r>
            <w:r w:rsidRPr="00270D5B">
              <w:rPr>
                <w:rFonts w:ascii="Times New Roman" w:hAnsi="Times New Roman" w:cs="Times New Roman"/>
                <w:sz w:val="24"/>
                <w:szCs w:val="24"/>
                <w:lang w:val="ro-RO"/>
              </w:rPr>
              <w:t>, Palpitaţii</w:t>
            </w:r>
            <w:r w:rsidRPr="00270D5B">
              <w:rPr>
                <w:rFonts w:ascii="Times New Roman" w:hAnsi="Times New Roman" w:cs="Times New Roman"/>
                <w:sz w:val="24"/>
                <w:szCs w:val="24"/>
                <w:vertAlign w:val="superscript"/>
                <w:lang w:val="ro-RO"/>
              </w:rPr>
              <w:t>23</w:t>
            </w:r>
          </w:p>
        </w:tc>
        <w:tc>
          <w:tcPr>
            <w:tcW w:w="1701" w:type="dxa"/>
          </w:tcPr>
          <w:p w14:paraId="4BAED13B" w14:textId="77777777" w:rsidR="00F375D3"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Prelungire a intervalului QT</w:t>
            </w:r>
            <w:r w:rsidRPr="00270D5B">
              <w:rPr>
                <w:rFonts w:ascii="Times New Roman" w:hAnsi="Times New Roman" w:cs="Times New Roman"/>
                <w:sz w:val="24"/>
                <w:szCs w:val="24"/>
                <w:vertAlign w:val="superscript"/>
                <w:lang w:val="ro-RO"/>
              </w:rPr>
              <w:t>1,12,18</w:t>
            </w:r>
          </w:p>
          <w:p w14:paraId="34CD6754" w14:textId="0C9DAC36" w:rsidR="00C21DDB"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Bradicardie</w:t>
            </w:r>
            <w:r w:rsidRPr="00270D5B">
              <w:rPr>
                <w:rFonts w:ascii="Times New Roman" w:hAnsi="Times New Roman" w:cs="Times New Roman"/>
                <w:sz w:val="24"/>
                <w:szCs w:val="24"/>
                <w:vertAlign w:val="superscript"/>
                <w:lang w:val="ro-RO"/>
              </w:rPr>
              <w:t>32</w:t>
            </w:r>
          </w:p>
        </w:tc>
        <w:tc>
          <w:tcPr>
            <w:tcW w:w="1560" w:type="dxa"/>
          </w:tcPr>
          <w:p w14:paraId="4701BFA2"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29217395"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035BEAC8"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33B7F02B" w14:textId="77777777" w:rsidTr="00844A0B">
        <w:tc>
          <w:tcPr>
            <w:tcW w:w="1560" w:type="dxa"/>
          </w:tcPr>
          <w:p w14:paraId="236E514D" w14:textId="178E8099"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oculare</w:t>
            </w:r>
          </w:p>
        </w:tc>
        <w:tc>
          <w:tcPr>
            <w:tcW w:w="1701" w:type="dxa"/>
          </w:tcPr>
          <w:p w14:paraId="5A31B383"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3FC09FCD" w14:textId="1242BD49"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Vedere înceţoşată</w:t>
            </w:r>
          </w:p>
        </w:tc>
        <w:tc>
          <w:tcPr>
            <w:tcW w:w="1701" w:type="dxa"/>
          </w:tcPr>
          <w:p w14:paraId="5BBF54F0" w14:textId="77777777" w:rsidR="00C21DDB" w:rsidRPr="00270D5B" w:rsidRDefault="00C21DDB" w:rsidP="002B222E">
            <w:pPr>
              <w:jc w:val="both"/>
              <w:rPr>
                <w:rFonts w:ascii="Times New Roman" w:hAnsi="Times New Roman" w:cs="Times New Roman"/>
                <w:sz w:val="24"/>
                <w:szCs w:val="24"/>
                <w:lang w:val="ro-RO"/>
              </w:rPr>
            </w:pPr>
          </w:p>
        </w:tc>
        <w:tc>
          <w:tcPr>
            <w:tcW w:w="1560" w:type="dxa"/>
          </w:tcPr>
          <w:p w14:paraId="562A5061"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305A873C"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1C02D527"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7EE99216" w14:textId="77777777" w:rsidTr="00844A0B">
        <w:tc>
          <w:tcPr>
            <w:tcW w:w="1560" w:type="dxa"/>
          </w:tcPr>
          <w:p w14:paraId="5C625B19" w14:textId="72ACCE5F"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vasculare</w:t>
            </w:r>
          </w:p>
        </w:tc>
        <w:tc>
          <w:tcPr>
            <w:tcW w:w="1701" w:type="dxa"/>
          </w:tcPr>
          <w:p w14:paraId="444DBC27"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7537F77C" w14:textId="5321A196"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Hipotensiune arterială ortostatică</w:t>
            </w:r>
            <w:r w:rsidRPr="00270D5B">
              <w:rPr>
                <w:rFonts w:ascii="Times New Roman" w:hAnsi="Times New Roman" w:cs="Times New Roman"/>
                <w:sz w:val="24"/>
                <w:szCs w:val="24"/>
                <w:vertAlign w:val="superscript"/>
                <w:lang w:val="ro-RO"/>
              </w:rPr>
              <w:t>4, 16</w:t>
            </w:r>
          </w:p>
        </w:tc>
        <w:tc>
          <w:tcPr>
            <w:tcW w:w="1701" w:type="dxa"/>
          </w:tcPr>
          <w:p w14:paraId="7F1E4FA5" w14:textId="77777777" w:rsidR="00C21DDB" w:rsidRPr="00270D5B" w:rsidRDefault="00C21DDB" w:rsidP="002B222E">
            <w:pPr>
              <w:jc w:val="both"/>
              <w:rPr>
                <w:rFonts w:ascii="Times New Roman" w:hAnsi="Times New Roman" w:cs="Times New Roman"/>
                <w:sz w:val="24"/>
                <w:szCs w:val="24"/>
                <w:lang w:val="ro-RO"/>
              </w:rPr>
            </w:pPr>
          </w:p>
        </w:tc>
        <w:tc>
          <w:tcPr>
            <w:tcW w:w="1560" w:type="dxa"/>
          </w:tcPr>
          <w:p w14:paraId="48E27A08" w14:textId="186576B4"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Tromboembo-lism venos</w:t>
            </w:r>
            <w:r w:rsidRPr="00270D5B">
              <w:rPr>
                <w:rFonts w:ascii="Times New Roman" w:hAnsi="Times New Roman" w:cs="Times New Roman"/>
                <w:sz w:val="24"/>
                <w:szCs w:val="24"/>
                <w:vertAlign w:val="superscript"/>
                <w:lang w:val="ro-RO"/>
              </w:rPr>
              <w:t>1</w:t>
            </w:r>
          </w:p>
        </w:tc>
        <w:tc>
          <w:tcPr>
            <w:tcW w:w="1701" w:type="dxa"/>
          </w:tcPr>
          <w:p w14:paraId="33705FF2"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791D94FC"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7767BE9D" w14:textId="77777777" w:rsidTr="00844A0B">
        <w:tc>
          <w:tcPr>
            <w:tcW w:w="1560" w:type="dxa"/>
          </w:tcPr>
          <w:p w14:paraId="22DAF95C" w14:textId="0DBE7FAF"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respiratorii, toracice şi mediastinale</w:t>
            </w:r>
          </w:p>
        </w:tc>
        <w:tc>
          <w:tcPr>
            <w:tcW w:w="1701" w:type="dxa"/>
          </w:tcPr>
          <w:p w14:paraId="459CFEC9"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32E74B7C" w14:textId="4860BF5B"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Dispnee</w:t>
            </w:r>
            <w:r w:rsidRPr="00270D5B">
              <w:rPr>
                <w:rFonts w:ascii="Times New Roman" w:hAnsi="Times New Roman" w:cs="Times New Roman"/>
                <w:sz w:val="24"/>
                <w:szCs w:val="24"/>
                <w:vertAlign w:val="superscript"/>
                <w:lang w:val="ro-RO"/>
              </w:rPr>
              <w:t>23</w:t>
            </w:r>
          </w:p>
        </w:tc>
        <w:tc>
          <w:tcPr>
            <w:tcW w:w="1701" w:type="dxa"/>
          </w:tcPr>
          <w:p w14:paraId="6E47A9C3" w14:textId="72F6278E"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Rinită</w:t>
            </w:r>
          </w:p>
        </w:tc>
        <w:tc>
          <w:tcPr>
            <w:tcW w:w="1560" w:type="dxa"/>
          </w:tcPr>
          <w:p w14:paraId="4E489640"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51B8EB31"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3E239DC1"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5B7E84C8" w14:textId="77777777" w:rsidTr="00844A0B">
        <w:tc>
          <w:tcPr>
            <w:tcW w:w="1560" w:type="dxa"/>
          </w:tcPr>
          <w:p w14:paraId="62089481" w14:textId="2A5FF476"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gastro-intestinale</w:t>
            </w:r>
          </w:p>
        </w:tc>
        <w:tc>
          <w:tcPr>
            <w:tcW w:w="1701" w:type="dxa"/>
          </w:tcPr>
          <w:p w14:paraId="7E360249" w14:textId="0D3C8BAB"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Xerostomie</w:t>
            </w:r>
          </w:p>
        </w:tc>
        <w:tc>
          <w:tcPr>
            <w:tcW w:w="1559" w:type="dxa"/>
          </w:tcPr>
          <w:p w14:paraId="79029A29" w14:textId="74628311"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Constipaţie, dispepsie, vomă</w:t>
            </w:r>
            <w:r w:rsidRPr="00270D5B">
              <w:rPr>
                <w:rFonts w:ascii="Times New Roman" w:hAnsi="Times New Roman" w:cs="Times New Roman"/>
                <w:sz w:val="24"/>
                <w:szCs w:val="24"/>
                <w:vertAlign w:val="superscript"/>
                <w:lang w:val="ro-RO"/>
              </w:rPr>
              <w:t>25</w:t>
            </w:r>
          </w:p>
        </w:tc>
        <w:tc>
          <w:tcPr>
            <w:tcW w:w="1701" w:type="dxa"/>
          </w:tcPr>
          <w:p w14:paraId="73E1099B" w14:textId="62349F7A"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Disfagie</w:t>
            </w:r>
            <w:r w:rsidRPr="00270D5B">
              <w:rPr>
                <w:rFonts w:ascii="Times New Roman" w:hAnsi="Times New Roman" w:cs="Times New Roman"/>
                <w:sz w:val="24"/>
                <w:szCs w:val="24"/>
                <w:vertAlign w:val="superscript"/>
                <w:lang w:val="ro-RO"/>
              </w:rPr>
              <w:t>7</w:t>
            </w:r>
          </w:p>
        </w:tc>
        <w:tc>
          <w:tcPr>
            <w:tcW w:w="1560" w:type="dxa"/>
          </w:tcPr>
          <w:p w14:paraId="3E7A1D9D" w14:textId="77777777" w:rsidR="00844A0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Pancreatită</w:t>
            </w:r>
            <w:r w:rsidRPr="00270D5B">
              <w:rPr>
                <w:rFonts w:ascii="Times New Roman" w:hAnsi="Times New Roman" w:cs="Times New Roman"/>
                <w:sz w:val="24"/>
                <w:szCs w:val="24"/>
                <w:vertAlign w:val="superscript"/>
                <w:lang w:val="ro-RO"/>
              </w:rPr>
              <w:t>1</w:t>
            </w:r>
            <w:r w:rsidRPr="00270D5B">
              <w:rPr>
                <w:rFonts w:ascii="Times New Roman" w:hAnsi="Times New Roman" w:cs="Times New Roman"/>
                <w:sz w:val="24"/>
                <w:szCs w:val="24"/>
                <w:lang w:val="ro-RO"/>
              </w:rPr>
              <w:t>, Obstrucţie intestinală/</w:t>
            </w:r>
          </w:p>
          <w:p w14:paraId="1B3A831C" w14:textId="3A648CCB"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Ileus</w:t>
            </w:r>
          </w:p>
        </w:tc>
        <w:tc>
          <w:tcPr>
            <w:tcW w:w="1701" w:type="dxa"/>
          </w:tcPr>
          <w:p w14:paraId="2EC49021"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45DA1C5A"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0A454265" w14:textId="77777777" w:rsidTr="00844A0B">
        <w:tc>
          <w:tcPr>
            <w:tcW w:w="1560" w:type="dxa"/>
          </w:tcPr>
          <w:p w14:paraId="1FB8CF90" w14:textId="6BE0C60D"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hepatobiliare</w:t>
            </w:r>
          </w:p>
        </w:tc>
        <w:tc>
          <w:tcPr>
            <w:tcW w:w="1701" w:type="dxa"/>
          </w:tcPr>
          <w:p w14:paraId="0FFF982A"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4DBDD56D" w14:textId="77777777" w:rsidR="00F375D3"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Creşteri ale valorilor serice ale alaninaminotransferazei (ALT)</w:t>
            </w:r>
            <w:r w:rsidRPr="00270D5B">
              <w:rPr>
                <w:rFonts w:ascii="Times New Roman" w:hAnsi="Times New Roman" w:cs="Times New Roman"/>
                <w:sz w:val="24"/>
                <w:szCs w:val="24"/>
                <w:vertAlign w:val="superscript"/>
                <w:lang w:val="ro-RO"/>
              </w:rPr>
              <w:t>3</w:t>
            </w:r>
          </w:p>
          <w:p w14:paraId="5B7D365C" w14:textId="06B19F80" w:rsidR="00C21DDB"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Creşteri ale concentraţiilor plasmatice a gama-GT</w:t>
            </w:r>
            <w:r w:rsidRPr="00270D5B">
              <w:rPr>
                <w:rFonts w:ascii="Times New Roman" w:hAnsi="Times New Roman" w:cs="Times New Roman"/>
                <w:sz w:val="24"/>
                <w:szCs w:val="24"/>
                <w:vertAlign w:val="superscript"/>
                <w:lang w:val="ro-RO"/>
              </w:rPr>
              <w:t>3</w:t>
            </w:r>
          </w:p>
        </w:tc>
        <w:tc>
          <w:tcPr>
            <w:tcW w:w="1701" w:type="dxa"/>
          </w:tcPr>
          <w:p w14:paraId="6D9B3C9D" w14:textId="3F68E35B"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Creşteri ale valorilor serice ale aspartat aminotransferazei (AST)</w:t>
            </w:r>
            <w:r w:rsidRPr="00270D5B">
              <w:rPr>
                <w:rFonts w:ascii="Times New Roman" w:hAnsi="Times New Roman" w:cs="Times New Roman"/>
                <w:sz w:val="24"/>
                <w:szCs w:val="24"/>
                <w:vertAlign w:val="superscript"/>
                <w:lang w:val="ro-RO"/>
              </w:rPr>
              <w:t>3</w:t>
            </w:r>
          </w:p>
        </w:tc>
        <w:tc>
          <w:tcPr>
            <w:tcW w:w="1560" w:type="dxa"/>
          </w:tcPr>
          <w:p w14:paraId="77714107" w14:textId="1929BD44"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Icter</w:t>
            </w:r>
            <w:r w:rsidRPr="00270D5B">
              <w:rPr>
                <w:rFonts w:ascii="Times New Roman" w:hAnsi="Times New Roman" w:cs="Times New Roman"/>
                <w:sz w:val="24"/>
                <w:szCs w:val="24"/>
                <w:vertAlign w:val="superscript"/>
                <w:lang w:val="ro-RO"/>
              </w:rPr>
              <w:t>5</w:t>
            </w:r>
            <w:r w:rsidRPr="00270D5B">
              <w:rPr>
                <w:rFonts w:ascii="Times New Roman" w:hAnsi="Times New Roman" w:cs="Times New Roman"/>
                <w:sz w:val="24"/>
                <w:szCs w:val="24"/>
                <w:lang w:val="ro-RO"/>
              </w:rPr>
              <w:t>, hepatită</w:t>
            </w:r>
          </w:p>
        </w:tc>
        <w:tc>
          <w:tcPr>
            <w:tcW w:w="1701" w:type="dxa"/>
          </w:tcPr>
          <w:p w14:paraId="4ED89C42" w14:textId="77777777" w:rsidR="00C21DDB" w:rsidRPr="00270D5B" w:rsidRDefault="00C21DDB" w:rsidP="002B222E">
            <w:pPr>
              <w:jc w:val="both"/>
              <w:rPr>
                <w:rFonts w:ascii="Times New Roman" w:hAnsi="Times New Roman" w:cs="Times New Roman"/>
                <w:sz w:val="24"/>
                <w:szCs w:val="24"/>
                <w:lang w:val="ro-RO"/>
              </w:rPr>
            </w:pPr>
          </w:p>
        </w:tc>
        <w:tc>
          <w:tcPr>
            <w:tcW w:w="1336" w:type="dxa"/>
          </w:tcPr>
          <w:p w14:paraId="66EF6D69" w14:textId="77777777" w:rsidR="00C21DDB" w:rsidRPr="00270D5B" w:rsidRDefault="00C21DDB" w:rsidP="002B222E">
            <w:pPr>
              <w:jc w:val="both"/>
              <w:rPr>
                <w:rFonts w:ascii="Times New Roman" w:hAnsi="Times New Roman" w:cs="Times New Roman"/>
                <w:sz w:val="24"/>
                <w:szCs w:val="24"/>
                <w:lang w:val="ro-RO"/>
              </w:rPr>
            </w:pPr>
          </w:p>
        </w:tc>
      </w:tr>
      <w:tr w:rsidR="00F375D3" w:rsidRPr="00270D5B" w14:paraId="0E928273" w14:textId="77777777" w:rsidTr="00844A0B">
        <w:tc>
          <w:tcPr>
            <w:tcW w:w="1560" w:type="dxa"/>
          </w:tcPr>
          <w:p w14:paraId="59A88678" w14:textId="345539F5" w:rsidR="00C21DDB" w:rsidRPr="00270D5B" w:rsidRDefault="00C21DDB"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Afecţiuni cutanate şi ale ţesutului subcutanat</w:t>
            </w:r>
          </w:p>
        </w:tc>
        <w:tc>
          <w:tcPr>
            <w:tcW w:w="1701" w:type="dxa"/>
          </w:tcPr>
          <w:p w14:paraId="313B9CD6" w14:textId="77777777" w:rsidR="00C21DDB" w:rsidRPr="00270D5B" w:rsidRDefault="00C21DDB" w:rsidP="002B222E">
            <w:pPr>
              <w:jc w:val="both"/>
              <w:rPr>
                <w:rFonts w:ascii="Times New Roman" w:hAnsi="Times New Roman" w:cs="Times New Roman"/>
                <w:sz w:val="24"/>
                <w:szCs w:val="24"/>
                <w:lang w:val="ro-RO"/>
              </w:rPr>
            </w:pPr>
          </w:p>
        </w:tc>
        <w:tc>
          <w:tcPr>
            <w:tcW w:w="1559" w:type="dxa"/>
          </w:tcPr>
          <w:p w14:paraId="56FC7F27"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2FA6EAF6" w14:textId="77777777" w:rsidR="00C21DDB" w:rsidRPr="00270D5B" w:rsidRDefault="00C21DDB" w:rsidP="002B222E">
            <w:pPr>
              <w:jc w:val="both"/>
              <w:rPr>
                <w:rFonts w:ascii="Times New Roman" w:hAnsi="Times New Roman" w:cs="Times New Roman"/>
                <w:sz w:val="24"/>
                <w:szCs w:val="24"/>
                <w:lang w:val="ro-RO"/>
              </w:rPr>
            </w:pPr>
          </w:p>
        </w:tc>
        <w:tc>
          <w:tcPr>
            <w:tcW w:w="1560" w:type="dxa"/>
          </w:tcPr>
          <w:p w14:paraId="3190B982" w14:textId="77777777" w:rsidR="00C21DDB" w:rsidRPr="00270D5B" w:rsidRDefault="00C21DDB" w:rsidP="002B222E">
            <w:pPr>
              <w:jc w:val="both"/>
              <w:rPr>
                <w:rFonts w:ascii="Times New Roman" w:hAnsi="Times New Roman" w:cs="Times New Roman"/>
                <w:sz w:val="24"/>
                <w:szCs w:val="24"/>
                <w:lang w:val="ro-RO"/>
              </w:rPr>
            </w:pPr>
          </w:p>
        </w:tc>
        <w:tc>
          <w:tcPr>
            <w:tcW w:w="1701" w:type="dxa"/>
          </w:tcPr>
          <w:p w14:paraId="286A37EE" w14:textId="77777777" w:rsidR="00C21DDB" w:rsidRPr="00270D5B" w:rsidRDefault="00F375D3" w:rsidP="002B222E">
            <w:pPr>
              <w:jc w:val="both"/>
              <w:rPr>
                <w:rFonts w:ascii="Times New Roman" w:hAnsi="Times New Roman" w:cs="Times New Roman"/>
                <w:sz w:val="24"/>
                <w:szCs w:val="24"/>
                <w:vertAlign w:val="superscript"/>
                <w:lang w:val="ro-RO"/>
              </w:rPr>
            </w:pPr>
            <w:r w:rsidRPr="00270D5B">
              <w:rPr>
                <w:rFonts w:ascii="Times New Roman" w:hAnsi="Times New Roman" w:cs="Times New Roman"/>
                <w:sz w:val="24"/>
                <w:szCs w:val="24"/>
                <w:lang w:val="ro-RO"/>
              </w:rPr>
              <w:t>Angioedem</w:t>
            </w:r>
            <w:r w:rsidRPr="00270D5B">
              <w:rPr>
                <w:rFonts w:ascii="Times New Roman" w:hAnsi="Times New Roman" w:cs="Times New Roman"/>
                <w:sz w:val="24"/>
                <w:szCs w:val="24"/>
                <w:vertAlign w:val="superscript"/>
                <w:lang w:val="ro-RO"/>
              </w:rPr>
              <w:t>5</w:t>
            </w:r>
            <w:r w:rsidRPr="00270D5B">
              <w:rPr>
                <w:rFonts w:ascii="Times New Roman" w:hAnsi="Times New Roman" w:cs="Times New Roman"/>
                <w:sz w:val="24"/>
                <w:szCs w:val="24"/>
                <w:lang w:val="ro-RO"/>
              </w:rPr>
              <w:t>, sindrom Stevens-Johnson</w:t>
            </w:r>
            <w:r w:rsidRPr="00270D5B">
              <w:rPr>
                <w:rFonts w:ascii="Times New Roman" w:hAnsi="Times New Roman" w:cs="Times New Roman"/>
                <w:sz w:val="24"/>
                <w:szCs w:val="24"/>
                <w:vertAlign w:val="superscript"/>
                <w:lang w:val="ro-RO"/>
              </w:rPr>
              <w:t>5</w:t>
            </w:r>
          </w:p>
          <w:p w14:paraId="18297769" w14:textId="0DF05B56" w:rsidR="00A66998" w:rsidRPr="00270D5B" w:rsidRDefault="00A66998"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Rabdomioliză</w:t>
            </w:r>
          </w:p>
        </w:tc>
        <w:tc>
          <w:tcPr>
            <w:tcW w:w="1336" w:type="dxa"/>
          </w:tcPr>
          <w:p w14:paraId="09D6C00E" w14:textId="164416C9" w:rsidR="00C21DDB" w:rsidRPr="00270D5B" w:rsidRDefault="00F375D3"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Necroliză epidermică toxică, Eritem polimorf</w:t>
            </w:r>
          </w:p>
        </w:tc>
      </w:tr>
      <w:tr w:rsidR="00F375D3" w:rsidRPr="00270D5B" w14:paraId="30718ED0" w14:textId="77777777" w:rsidTr="00844A0B">
        <w:tc>
          <w:tcPr>
            <w:tcW w:w="1560" w:type="dxa"/>
          </w:tcPr>
          <w:p w14:paraId="75F0EDF3" w14:textId="3F5C892F" w:rsidR="00F375D3" w:rsidRPr="00270D5B" w:rsidRDefault="00F375D3" w:rsidP="00F375D3">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renale şi ale căilor urinare</w:t>
            </w:r>
          </w:p>
        </w:tc>
        <w:tc>
          <w:tcPr>
            <w:tcW w:w="1701" w:type="dxa"/>
          </w:tcPr>
          <w:p w14:paraId="36E58069" w14:textId="77777777" w:rsidR="00F375D3" w:rsidRPr="00270D5B" w:rsidRDefault="00F375D3" w:rsidP="00F375D3">
            <w:pPr>
              <w:jc w:val="both"/>
              <w:rPr>
                <w:rFonts w:ascii="Times New Roman" w:hAnsi="Times New Roman" w:cs="Times New Roman"/>
                <w:sz w:val="24"/>
                <w:szCs w:val="24"/>
                <w:lang w:val="ro-RO"/>
              </w:rPr>
            </w:pPr>
          </w:p>
        </w:tc>
        <w:tc>
          <w:tcPr>
            <w:tcW w:w="1559" w:type="dxa"/>
          </w:tcPr>
          <w:p w14:paraId="1D7BFCCF" w14:textId="77777777" w:rsidR="00F375D3" w:rsidRPr="00270D5B" w:rsidRDefault="00F375D3" w:rsidP="00F375D3">
            <w:pPr>
              <w:jc w:val="both"/>
              <w:rPr>
                <w:rFonts w:ascii="Times New Roman" w:hAnsi="Times New Roman" w:cs="Times New Roman"/>
                <w:sz w:val="24"/>
                <w:szCs w:val="24"/>
                <w:lang w:val="ro-RO"/>
              </w:rPr>
            </w:pPr>
          </w:p>
        </w:tc>
        <w:tc>
          <w:tcPr>
            <w:tcW w:w="1701" w:type="dxa"/>
          </w:tcPr>
          <w:p w14:paraId="389E61AC" w14:textId="21FD9AB9" w:rsidR="00F375D3"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Retenţie urinară</w:t>
            </w:r>
          </w:p>
        </w:tc>
        <w:tc>
          <w:tcPr>
            <w:tcW w:w="1560" w:type="dxa"/>
          </w:tcPr>
          <w:p w14:paraId="2F15E079" w14:textId="77777777" w:rsidR="00F375D3" w:rsidRPr="00270D5B" w:rsidRDefault="00F375D3" w:rsidP="00F375D3">
            <w:pPr>
              <w:jc w:val="both"/>
              <w:rPr>
                <w:rFonts w:ascii="Times New Roman" w:hAnsi="Times New Roman" w:cs="Times New Roman"/>
                <w:sz w:val="24"/>
                <w:szCs w:val="24"/>
                <w:lang w:val="ro-RO"/>
              </w:rPr>
            </w:pPr>
          </w:p>
        </w:tc>
        <w:tc>
          <w:tcPr>
            <w:tcW w:w="1701" w:type="dxa"/>
          </w:tcPr>
          <w:p w14:paraId="75514564" w14:textId="4D782A83" w:rsidR="00F375D3" w:rsidRPr="00270D5B" w:rsidRDefault="00F375D3" w:rsidP="00F375D3">
            <w:pPr>
              <w:jc w:val="both"/>
              <w:rPr>
                <w:rFonts w:ascii="Times New Roman" w:hAnsi="Times New Roman" w:cs="Times New Roman"/>
                <w:sz w:val="24"/>
                <w:szCs w:val="24"/>
                <w:lang w:val="ro-RO"/>
              </w:rPr>
            </w:pPr>
          </w:p>
        </w:tc>
        <w:tc>
          <w:tcPr>
            <w:tcW w:w="1336" w:type="dxa"/>
          </w:tcPr>
          <w:p w14:paraId="49DFF973" w14:textId="77777777" w:rsidR="00F375D3" w:rsidRPr="00270D5B" w:rsidRDefault="00F375D3" w:rsidP="00F375D3">
            <w:pPr>
              <w:jc w:val="both"/>
              <w:rPr>
                <w:rFonts w:ascii="Times New Roman" w:hAnsi="Times New Roman" w:cs="Times New Roman"/>
                <w:sz w:val="24"/>
                <w:szCs w:val="24"/>
                <w:lang w:val="ro-RO"/>
              </w:rPr>
            </w:pPr>
          </w:p>
        </w:tc>
      </w:tr>
      <w:tr w:rsidR="00F375D3" w:rsidRPr="00270D5B" w14:paraId="49630EF4" w14:textId="77777777" w:rsidTr="00844A0B">
        <w:tc>
          <w:tcPr>
            <w:tcW w:w="1560" w:type="dxa"/>
          </w:tcPr>
          <w:p w14:paraId="1E10C9BA" w14:textId="58C6299A" w:rsidR="00F375D3" w:rsidRPr="00270D5B" w:rsidRDefault="00F375D3" w:rsidP="00F375D3">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Sarcină, afecţiuni puerperale şi perinatale</w:t>
            </w:r>
          </w:p>
        </w:tc>
        <w:tc>
          <w:tcPr>
            <w:tcW w:w="1701" w:type="dxa"/>
          </w:tcPr>
          <w:p w14:paraId="05179E6B" w14:textId="77777777" w:rsidR="00F375D3" w:rsidRPr="00270D5B" w:rsidRDefault="00F375D3" w:rsidP="00F375D3">
            <w:pPr>
              <w:jc w:val="both"/>
              <w:rPr>
                <w:rFonts w:ascii="Times New Roman" w:hAnsi="Times New Roman" w:cs="Times New Roman"/>
                <w:sz w:val="24"/>
                <w:szCs w:val="24"/>
                <w:lang w:val="ro-RO"/>
              </w:rPr>
            </w:pPr>
          </w:p>
        </w:tc>
        <w:tc>
          <w:tcPr>
            <w:tcW w:w="1559" w:type="dxa"/>
          </w:tcPr>
          <w:p w14:paraId="76252B09" w14:textId="77777777" w:rsidR="00F375D3" w:rsidRPr="00270D5B" w:rsidRDefault="00F375D3" w:rsidP="00F375D3">
            <w:pPr>
              <w:jc w:val="both"/>
              <w:rPr>
                <w:rFonts w:ascii="Times New Roman" w:hAnsi="Times New Roman" w:cs="Times New Roman"/>
                <w:sz w:val="24"/>
                <w:szCs w:val="24"/>
                <w:lang w:val="ro-RO"/>
              </w:rPr>
            </w:pPr>
          </w:p>
        </w:tc>
        <w:tc>
          <w:tcPr>
            <w:tcW w:w="1701" w:type="dxa"/>
          </w:tcPr>
          <w:p w14:paraId="0AF0F301" w14:textId="5C27A501" w:rsidR="00F375D3" w:rsidRPr="00270D5B" w:rsidRDefault="00F375D3" w:rsidP="00F375D3">
            <w:pPr>
              <w:jc w:val="both"/>
              <w:rPr>
                <w:rFonts w:ascii="Times New Roman" w:hAnsi="Times New Roman" w:cs="Times New Roman"/>
                <w:sz w:val="24"/>
                <w:szCs w:val="24"/>
                <w:lang w:val="ro-RO"/>
              </w:rPr>
            </w:pPr>
          </w:p>
        </w:tc>
        <w:tc>
          <w:tcPr>
            <w:tcW w:w="1560" w:type="dxa"/>
          </w:tcPr>
          <w:p w14:paraId="58A73538" w14:textId="77777777" w:rsidR="00F375D3" w:rsidRPr="00270D5B" w:rsidRDefault="00F375D3" w:rsidP="00F375D3">
            <w:pPr>
              <w:jc w:val="both"/>
              <w:rPr>
                <w:rFonts w:ascii="Times New Roman" w:hAnsi="Times New Roman" w:cs="Times New Roman"/>
                <w:sz w:val="24"/>
                <w:szCs w:val="24"/>
                <w:lang w:val="ro-RO"/>
              </w:rPr>
            </w:pPr>
          </w:p>
        </w:tc>
        <w:tc>
          <w:tcPr>
            <w:tcW w:w="1701" w:type="dxa"/>
          </w:tcPr>
          <w:p w14:paraId="21B1869A" w14:textId="77777777" w:rsidR="00F375D3" w:rsidRPr="00270D5B" w:rsidRDefault="00F375D3" w:rsidP="00F375D3">
            <w:pPr>
              <w:jc w:val="both"/>
              <w:rPr>
                <w:rFonts w:ascii="Times New Roman" w:hAnsi="Times New Roman" w:cs="Times New Roman"/>
                <w:sz w:val="24"/>
                <w:szCs w:val="24"/>
                <w:lang w:val="ro-RO"/>
              </w:rPr>
            </w:pPr>
          </w:p>
        </w:tc>
        <w:tc>
          <w:tcPr>
            <w:tcW w:w="1336" w:type="dxa"/>
          </w:tcPr>
          <w:p w14:paraId="328592F2" w14:textId="6DD2E26F" w:rsidR="00F375D3" w:rsidRPr="00270D5B" w:rsidRDefault="00F375D3" w:rsidP="00F375D3">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Sindrom de întrerupere la nou născut</w:t>
            </w:r>
            <w:r w:rsidRPr="00270D5B">
              <w:rPr>
                <w:rFonts w:ascii="Times New Roman" w:hAnsi="Times New Roman" w:cs="Times New Roman"/>
                <w:sz w:val="24"/>
                <w:szCs w:val="24"/>
                <w:vertAlign w:val="superscript"/>
                <w:lang w:val="ro-RO"/>
              </w:rPr>
              <w:t>31</w:t>
            </w:r>
          </w:p>
        </w:tc>
      </w:tr>
      <w:tr w:rsidR="00A66998" w:rsidRPr="00270D5B" w14:paraId="0AC43F1C" w14:textId="77777777" w:rsidTr="00844A0B">
        <w:tc>
          <w:tcPr>
            <w:tcW w:w="1560" w:type="dxa"/>
          </w:tcPr>
          <w:p w14:paraId="0F7CCC2D" w14:textId="388876F3" w:rsidR="00A66998" w:rsidRPr="00270D5B" w:rsidRDefault="00A66998" w:rsidP="00A66998">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ale aparatului genital şi sânului</w:t>
            </w:r>
          </w:p>
        </w:tc>
        <w:tc>
          <w:tcPr>
            <w:tcW w:w="1701" w:type="dxa"/>
          </w:tcPr>
          <w:p w14:paraId="41B1A3C7" w14:textId="77777777" w:rsidR="00A66998" w:rsidRPr="00270D5B" w:rsidRDefault="00A66998" w:rsidP="00A66998">
            <w:pPr>
              <w:jc w:val="both"/>
              <w:rPr>
                <w:rFonts w:ascii="Times New Roman" w:hAnsi="Times New Roman" w:cs="Times New Roman"/>
                <w:sz w:val="24"/>
                <w:szCs w:val="24"/>
                <w:lang w:val="ro-RO"/>
              </w:rPr>
            </w:pPr>
          </w:p>
        </w:tc>
        <w:tc>
          <w:tcPr>
            <w:tcW w:w="1559" w:type="dxa"/>
          </w:tcPr>
          <w:p w14:paraId="56E4E36E" w14:textId="77777777" w:rsidR="00A66998" w:rsidRPr="00270D5B" w:rsidRDefault="00A66998" w:rsidP="00A66998">
            <w:pPr>
              <w:jc w:val="both"/>
              <w:rPr>
                <w:rFonts w:ascii="Times New Roman" w:hAnsi="Times New Roman" w:cs="Times New Roman"/>
                <w:sz w:val="24"/>
                <w:szCs w:val="24"/>
                <w:lang w:val="ro-RO"/>
              </w:rPr>
            </w:pPr>
          </w:p>
        </w:tc>
        <w:tc>
          <w:tcPr>
            <w:tcW w:w="1701" w:type="dxa"/>
          </w:tcPr>
          <w:p w14:paraId="25F5E082" w14:textId="551B1215" w:rsidR="00A66998" w:rsidRPr="00270D5B" w:rsidRDefault="00A66998" w:rsidP="00A66998">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Disfuncţie sexuală</w:t>
            </w:r>
          </w:p>
        </w:tc>
        <w:tc>
          <w:tcPr>
            <w:tcW w:w="1560" w:type="dxa"/>
          </w:tcPr>
          <w:p w14:paraId="64B2A421" w14:textId="63AAD09E" w:rsidR="00A66998" w:rsidRPr="00270D5B" w:rsidRDefault="00A66998" w:rsidP="00A66998">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Priapism, galactoree, mărire de volum a </w:t>
            </w:r>
            <w:r w:rsidRPr="00270D5B">
              <w:rPr>
                <w:rFonts w:ascii="Times New Roman" w:hAnsi="Times New Roman" w:cs="Times New Roman"/>
                <w:sz w:val="24"/>
                <w:szCs w:val="24"/>
                <w:lang w:val="ro-RO"/>
              </w:rPr>
              <w:lastRenderedPageBreak/>
              <w:t>sânilor, tulburări menstruale</w:t>
            </w:r>
          </w:p>
        </w:tc>
        <w:tc>
          <w:tcPr>
            <w:tcW w:w="1701" w:type="dxa"/>
          </w:tcPr>
          <w:p w14:paraId="344F7C14" w14:textId="77777777" w:rsidR="00A66998" w:rsidRPr="00270D5B" w:rsidRDefault="00A66998" w:rsidP="00A66998">
            <w:pPr>
              <w:jc w:val="both"/>
              <w:rPr>
                <w:rFonts w:ascii="Times New Roman" w:hAnsi="Times New Roman" w:cs="Times New Roman"/>
                <w:sz w:val="24"/>
                <w:szCs w:val="24"/>
                <w:lang w:val="ro-RO"/>
              </w:rPr>
            </w:pPr>
          </w:p>
        </w:tc>
        <w:tc>
          <w:tcPr>
            <w:tcW w:w="1336" w:type="dxa"/>
          </w:tcPr>
          <w:p w14:paraId="6857C8EE" w14:textId="77777777" w:rsidR="00A66998" w:rsidRPr="00270D5B" w:rsidRDefault="00A66998" w:rsidP="00A66998">
            <w:pPr>
              <w:jc w:val="both"/>
              <w:rPr>
                <w:rFonts w:ascii="Times New Roman" w:hAnsi="Times New Roman" w:cs="Times New Roman"/>
                <w:sz w:val="24"/>
                <w:szCs w:val="24"/>
                <w:lang w:val="ro-RO"/>
              </w:rPr>
            </w:pPr>
          </w:p>
        </w:tc>
      </w:tr>
      <w:tr w:rsidR="00A66998" w:rsidRPr="00270D5B" w14:paraId="4EE35F55" w14:textId="77777777" w:rsidTr="00844A0B">
        <w:tc>
          <w:tcPr>
            <w:tcW w:w="1560" w:type="dxa"/>
          </w:tcPr>
          <w:p w14:paraId="68DAA2C5" w14:textId="28758523" w:rsidR="00A66998" w:rsidRPr="00270D5B" w:rsidRDefault="00A66998" w:rsidP="00A66998">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generale şi la nivelul locului de administrare</w:t>
            </w:r>
          </w:p>
        </w:tc>
        <w:tc>
          <w:tcPr>
            <w:tcW w:w="1701" w:type="dxa"/>
          </w:tcPr>
          <w:p w14:paraId="26A3567B" w14:textId="1BA42BEC" w:rsidR="00A66998" w:rsidRPr="00270D5B" w:rsidRDefault="00A66998" w:rsidP="00A66998">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Simptome de întrerupere </w:t>
            </w:r>
            <w:r w:rsidRPr="00270D5B">
              <w:rPr>
                <w:rFonts w:ascii="Times New Roman" w:hAnsi="Times New Roman" w:cs="Times New Roman"/>
                <w:sz w:val="24"/>
                <w:szCs w:val="24"/>
                <w:vertAlign w:val="superscript"/>
                <w:lang w:val="ro-RO"/>
              </w:rPr>
              <w:t>1, 9</w:t>
            </w:r>
          </w:p>
        </w:tc>
        <w:tc>
          <w:tcPr>
            <w:tcW w:w="1559" w:type="dxa"/>
          </w:tcPr>
          <w:p w14:paraId="63396A46" w14:textId="76DF1440" w:rsidR="00A66998" w:rsidRPr="00270D5B" w:rsidRDefault="00A66998" w:rsidP="00A66998">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Astenie uşoară, edem periferic, iritabilitate, febră</w:t>
            </w:r>
          </w:p>
        </w:tc>
        <w:tc>
          <w:tcPr>
            <w:tcW w:w="1701" w:type="dxa"/>
          </w:tcPr>
          <w:p w14:paraId="2CAEE51C" w14:textId="3616E833" w:rsidR="00A66998" w:rsidRPr="00270D5B" w:rsidRDefault="00A66998" w:rsidP="00A66998">
            <w:pPr>
              <w:jc w:val="both"/>
              <w:rPr>
                <w:rFonts w:ascii="Times New Roman" w:hAnsi="Times New Roman" w:cs="Times New Roman"/>
                <w:sz w:val="24"/>
                <w:szCs w:val="24"/>
                <w:lang w:val="ro-RO"/>
              </w:rPr>
            </w:pPr>
          </w:p>
        </w:tc>
        <w:tc>
          <w:tcPr>
            <w:tcW w:w="1560" w:type="dxa"/>
          </w:tcPr>
          <w:p w14:paraId="4C98294E" w14:textId="2C55DBC0" w:rsidR="00A66998" w:rsidRPr="00270D5B" w:rsidRDefault="00A66998" w:rsidP="00A66998">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Sindrom neuroleptic malign</w:t>
            </w:r>
            <w:r w:rsidRPr="00270D5B">
              <w:rPr>
                <w:rFonts w:ascii="Times New Roman" w:hAnsi="Times New Roman" w:cs="Times New Roman"/>
                <w:sz w:val="24"/>
                <w:szCs w:val="24"/>
                <w:vertAlign w:val="superscript"/>
                <w:lang w:val="ro-RO"/>
              </w:rPr>
              <w:t>1</w:t>
            </w:r>
            <w:r w:rsidRPr="00270D5B">
              <w:rPr>
                <w:rFonts w:ascii="Times New Roman" w:hAnsi="Times New Roman" w:cs="Times New Roman"/>
                <w:sz w:val="24"/>
                <w:szCs w:val="24"/>
                <w:lang w:val="ro-RO"/>
              </w:rPr>
              <w:t>, hipotermie</w:t>
            </w:r>
          </w:p>
        </w:tc>
        <w:tc>
          <w:tcPr>
            <w:tcW w:w="1701" w:type="dxa"/>
          </w:tcPr>
          <w:p w14:paraId="04756FC7" w14:textId="77777777" w:rsidR="00A66998" w:rsidRPr="00270D5B" w:rsidRDefault="00A66998" w:rsidP="00A66998">
            <w:pPr>
              <w:jc w:val="both"/>
              <w:rPr>
                <w:rFonts w:ascii="Times New Roman" w:hAnsi="Times New Roman" w:cs="Times New Roman"/>
                <w:sz w:val="24"/>
                <w:szCs w:val="24"/>
                <w:lang w:val="ro-RO"/>
              </w:rPr>
            </w:pPr>
          </w:p>
        </w:tc>
        <w:tc>
          <w:tcPr>
            <w:tcW w:w="1336" w:type="dxa"/>
          </w:tcPr>
          <w:p w14:paraId="284DE1FD" w14:textId="77777777" w:rsidR="00A66998" w:rsidRPr="00270D5B" w:rsidRDefault="00A66998" w:rsidP="00A66998">
            <w:pPr>
              <w:jc w:val="both"/>
              <w:rPr>
                <w:rFonts w:ascii="Times New Roman" w:hAnsi="Times New Roman" w:cs="Times New Roman"/>
                <w:sz w:val="24"/>
                <w:szCs w:val="24"/>
                <w:lang w:val="ro-RO"/>
              </w:rPr>
            </w:pPr>
          </w:p>
        </w:tc>
      </w:tr>
      <w:tr w:rsidR="00A66998" w:rsidRPr="00270D5B" w14:paraId="16E0DF59" w14:textId="77777777" w:rsidTr="00844A0B">
        <w:tc>
          <w:tcPr>
            <w:tcW w:w="1560" w:type="dxa"/>
          </w:tcPr>
          <w:p w14:paraId="76F5081E" w14:textId="02C8C943" w:rsidR="00A66998" w:rsidRPr="00270D5B" w:rsidRDefault="00A66998" w:rsidP="00A66998">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Investigaţii diagnostice</w:t>
            </w:r>
          </w:p>
        </w:tc>
        <w:tc>
          <w:tcPr>
            <w:tcW w:w="1701" w:type="dxa"/>
          </w:tcPr>
          <w:p w14:paraId="314558DE" w14:textId="77777777" w:rsidR="00A66998" w:rsidRPr="00270D5B" w:rsidRDefault="00A66998" w:rsidP="00A66998">
            <w:pPr>
              <w:jc w:val="both"/>
              <w:rPr>
                <w:rFonts w:ascii="Times New Roman" w:hAnsi="Times New Roman" w:cs="Times New Roman"/>
                <w:sz w:val="24"/>
                <w:szCs w:val="24"/>
                <w:lang w:val="ro-RO"/>
              </w:rPr>
            </w:pPr>
          </w:p>
        </w:tc>
        <w:tc>
          <w:tcPr>
            <w:tcW w:w="1559" w:type="dxa"/>
          </w:tcPr>
          <w:p w14:paraId="4C6EFAC3" w14:textId="77777777" w:rsidR="00A66998" w:rsidRPr="00270D5B" w:rsidRDefault="00A66998" w:rsidP="00A66998">
            <w:pPr>
              <w:jc w:val="both"/>
              <w:rPr>
                <w:rFonts w:ascii="Times New Roman" w:hAnsi="Times New Roman" w:cs="Times New Roman"/>
                <w:sz w:val="24"/>
                <w:szCs w:val="24"/>
                <w:lang w:val="ro-RO"/>
              </w:rPr>
            </w:pPr>
          </w:p>
        </w:tc>
        <w:tc>
          <w:tcPr>
            <w:tcW w:w="1701" w:type="dxa"/>
          </w:tcPr>
          <w:p w14:paraId="5896FAEE" w14:textId="77777777" w:rsidR="00A66998" w:rsidRPr="00270D5B" w:rsidRDefault="00A66998" w:rsidP="00A66998">
            <w:pPr>
              <w:jc w:val="both"/>
              <w:rPr>
                <w:rFonts w:ascii="Times New Roman" w:hAnsi="Times New Roman" w:cs="Times New Roman"/>
                <w:sz w:val="24"/>
                <w:szCs w:val="24"/>
                <w:lang w:val="ro-RO"/>
              </w:rPr>
            </w:pPr>
          </w:p>
        </w:tc>
        <w:tc>
          <w:tcPr>
            <w:tcW w:w="1560" w:type="dxa"/>
          </w:tcPr>
          <w:p w14:paraId="33257279" w14:textId="4C40CD82" w:rsidR="00A66998" w:rsidRPr="00270D5B" w:rsidRDefault="00A66998" w:rsidP="00A66998">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Creşteri ale concentraţiei plasmatice a creatin</w:t>
            </w:r>
            <w:r w:rsidR="00844A0B">
              <w:rPr>
                <w:rFonts w:ascii="Times New Roman" w:hAnsi="Times New Roman" w:cs="Times New Roman"/>
                <w:sz w:val="24"/>
                <w:szCs w:val="24"/>
                <w:lang w:val="ro-RO"/>
              </w:rPr>
              <w:t>-</w:t>
            </w:r>
            <w:r w:rsidRPr="00270D5B">
              <w:rPr>
                <w:rFonts w:ascii="Times New Roman" w:hAnsi="Times New Roman" w:cs="Times New Roman"/>
                <w:sz w:val="24"/>
                <w:szCs w:val="24"/>
                <w:lang w:val="ro-RO"/>
              </w:rPr>
              <w:t xml:space="preserve"> fosfokinazei</w:t>
            </w:r>
            <w:r w:rsidRPr="00270D5B">
              <w:rPr>
                <w:rFonts w:ascii="Times New Roman" w:hAnsi="Times New Roman" w:cs="Times New Roman"/>
                <w:sz w:val="24"/>
                <w:szCs w:val="24"/>
                <w:vertAlign w:val="superscript"/>
                <w:lang w:val="ro-RO"/>
              </w:rPr>
              <w:t>14</w:t>
            </w:r>
          </w:p>
        </w:tc>
        <w:tc>
          <w:tcPr>
            <w:tcW w:w="1701" w:type="dxa"/>
          </w:tcPr>
          <w:p w14:paraId="3EA56905" w14:textId="77777777" w:rsidR="00A66998" w:rsidRPr="00270D5B" w:rsidRDefault="00A66998" w:rsidP="00A66998">
            <w:pPr>
              <w:jc w:val="both"/>
              <w:rPr>
                <w:rFonts w:ascii="Times New Roman" w:hAnsi="Times New Roman" w:cs="Times New Roman"/>
                <w:sz w:val="24"/>
                <w:szCs w:val="24"/>
                <w:lang w:val="ro-RO"/>
              </w:rPr>
            </w:pPr>
          </w:p>
        </w:tc>
        <w:tc>
          <w:tcPr>
            <w:tcW w:w="1336" w:type="dxa"/>
          </w:tcPr>
          <w:p w14:paraId="6ABAAF38" w14:textId="77777777" w:rsidR="00A66998" w:rsidRPr="00270D5B" w:rsidRDefault="00A66998" w:rsidP="00A66998">
            <w:pPr>
              <w:jc w:val="both"/>
              <w:rPr>
                <w:rFonts w:ascii="Times New Roman" w:hAnsi="Times New Roman" w:cs="Times New Roman"/>
                <w:sz w:val="24"/>
                <w:szCs w:val="24"/>
                <w:lang w:val="ro-RO"/>
              </w:rPr>
            </w:pPr>
          </w:p>
        </w:tc>
      </w:tr>
    </w:tbl>
    <w:p w14:paraId="2834A936" w14:textId="77777777" w:rsidR="00ED21CD" w:rsidRPr="00270D5B" w:rsidRDefault="00ED21CD" w:rsidP="002B222E">
      <w:pPr>
        <w:spacing w:after="0"/>
        <w:jc w:val="both"/>
        <w:rPr>
          <w:rFonts w:ascii="Times New Roman" w:hAnsi="Times New Roman" w:cs="Times New Roman"/>
          <w:sz w:val="24"/>
          <w:szCs w:val="24"/>
          <w:lang w:val="ro-RO"/>
        </w:rPr>
      </w:pPr>
    </w:p>
    <w:p w14:paraId="090C6A0E"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 Vezi pct. 4.4.</w:t>
      </w:r>
    </w:p>
    <w:p w14:paraId="3C4D3E4E"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 Poate să apară somnolenţă, frecvent în primele două săptămâni de tratament care, în general, se remite la continuarea tratamentului cu quetiapină</w:t>
      </w:r>
    </w:p>
    <w:p w14:paraId="7A5BF80B"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3. S-au observat creşteri asimptomatice (de la valori normale la valori &gt; 3X LSVN la orice moment) ale valorilor transaminazelor serice (AST, ALT) sau ale γ - GT la anumiţi pacienţi la care s-a administrat quetiapină. Aceste creşteri au fost, în general, reversibile la continuarea tratamentului cu quetiapină.</w:t>
      </w:r>
    </w:p>
    <w:p w14:paraId="3547C9AA"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4. Similar altor antipsihotice cu activitate de blocare a receptorilor alfa1 adrenergici, quetiapina poate induce frecvent apariţia hipotensiunii arteriale ortostatice asociată cu ameţeli, tahicardie şi, la anumiţi pacienţi, sincopă, în special în cursul perioadei iniţiale de ajustare a dozelor (vezi pct. 4.4.)</w:t>
      </w:r>
    </w:p>
    <w:p w14:paraId="1E10486A"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5. Frecvenţa acestor reacţii adverse a fost calculată exclusiv pe baza datelor din perioada după punerea pe piaţă pentru quetiapină, forma farmaceutică cu eliberare imediată</w:t>
      </w:r>
    </w:p>
    <w:p w14:paraId="71B6D330"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6. Glicemia în condiţii de repaus alimentar ≥126 mg/dl (≥7,0 mmol/l) sau glicemie postprandială ≥200 mg/dL (≥11,1 mmol/l) cel puţin o dată.</w:t>
      </w:r>
    </w:p>
    <w:p w14:paraId="0DD0B99F"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7. S-a observat o creştere a frecvenţei de apariţie a disfagiei după administrarea de quetiapină faţă de placebo doar în studiile clinice efectuate la pacienţi cu depresie în cadrul tulburării bipolare.</w:t>
      </w:r>
    </w:p>
    <w:p w14:paraId="1B6DD2DE"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8. Pe baza unei creşteri peste 7% a greutăţii corporale faţă de momentul iniţial. Survine mai ales în timpul primelor săptămâni de tratament.</w:t>
      </w:r>
    </w:p>
    <w:p w14:paraId="5F3F5AC6"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9. Următoarele simptome ale sindromului de întrerupere au fost observate cel mai frecvent în studiile clinice cu monoterapie , controlate placebo, care au evaluat simptomele sindromului de întrerupere: insomnie, greaţă, cefalee, diaree, vărsături, ameţeli şi iritabilitate. Incidenţa acestor reacţii a scăzut semnificativ după 1 săptămână de la întreruperea tratamentului.</w:t>
      </w:r>
    </w:p>
    <w:p w14:paraId="1C8A4CC0"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10. Trigliceridemie ≥200 mg/dl (≥2,258 mmol/l) (pacienţi ≥18 ani) sau ≥150 mg/dl (≥1,694 mmol/l) (pacienţi &lt; 18 ani) cel puţin o dată.</w:t>
      </w:r>
    </w:p>
    <w:p w14:paraId="00AF2E08"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11. Colesterolemie ≥ 240 mg/dl (≥6,2064 mmol/l) (pacienţi cu vârsta ≥ 18 ani) sau ≥200 mg/dl (≥5,172 mmol/l) (pacienţi cu vârsta &lt; 18 ani) cel puţin o dată. O creştere a LDL colesterol ≥30 mg/dl (≥0,769 mmol/l) a fost observată frecvent. Modificarea medie la pacienţii care prezintă această creştere a fost de 41,7 mg/dl (≥1,07 mmol/).</w:t>
      </w:r>
    </w:p>
    <w:p w14:paraId="5B8598EF"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12. A se vedea textul de mai jos</w:t>
      </w:r>
    </w:p>
    <w:p w14:paraId="2F48F33A"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13. Trombocite ≤100 x 109/l cel puţin o dată</w:t>
      </w:r>
    </w:p>
    <w:p w14:paraId="1CA7B451"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14. Pe baza raportărilor evenimentelor adverse din studiile clinice de creşteri ale concentraţiilor plasmatice ale creatin fosfokinazemiei neasociate cu sindromul neuroleptic malign</w:t>
      </w:r>
    </w:p>
    <w:p w14:paraId="68BD3C66"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15. Concentraţii plasmatice de prolactină (la pacienţi cu vârsta &gt;18 ani): &gt;20 μg/l (&gt;869,56 pmol/l) la bărbaţi; &gt;30 μg/l (&gt;1304,34 pmol/l) la femei, la oricare dintre determinări.</w:t>
      </w:r>
    </w:p>
    <w:p w14:paraId="3EC2FF01"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16. Poate duce la căderi din poziţia de ortostatism.</w:t>
      </w:r>
    </w:p>
    <w:p w14:paraId="59BD9D0F"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17. HDL-colesterol: &lt; 40 mg/dL (1,025 mmol/l) la bărbaţi; &lt; 50 mg/dL (1,282 mmol/l) la femei în orice moment</w:t>
      </w:r>
    </w:p>
    <w:p w14:paraId="5A3F1E2A"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18. Frecvenţa cazurilor cu prelungire a intervalului QTc de la &lt; 450 msec la ≥ 450 msec cu o variaţie ≥ 30 msec. În studiile clinice placebo-controlate cu quetiapină, frecvenţa apariţiei cazurilor de prelungire a intervalului QTc cu semnificaţie clinică este similară pentru quetiapină şi placebo.</w:t>
      </w:r>
    </w:p>
    <w:p w14:paraId="427529AB"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19. Modificări de la &gt;132 mmol/l la ≤132 mmol/l la cel puţin o determinare</w:t>
      </w:r>
    </w:p>
    <w:p w14:paraId="23CC5AFE"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20. Au fost raportate cazuri de ideaţie suicidară şi comportament suicidar în timpul tratamentului cu quetiapină sau precoce după întreruperea tratamentului (vezi pct. 4.4 şi 5.1)</w:t>
      </w:r>
    </w:p>
    <w:p w14:paraId="71CB7BE4"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21. Vezi pct. 5.1.</w:t>
      </w:r>
    </w:p>
    <w:p w14:paraId="265CCDD2"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22. Scădere a valorii hemoglobinei ≤ 13g/dl (8.07mmol/l) la bărbaţi şi ≤ 12g/dl (7.45mmol/l) la femei la cel puţin o determinare s-a înregistrat la 11% dintre pacienţii cărora li s-a administrat quetiapină, în toate studiile deschise. Pentru aceşti pacienţi, scăderea medie maximă a valorii hemoglobinei a fost de -1,5 g/dl.</w:t>
      </w:r>
    </w:p>
    <w:p w14:paraId="5150ABA8"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23. Aceste raportări au apărut adesea în contextul unor tahicardii, ameţeli, hipotensiuni arteriale ortostatice şi/sau afecţiuni cardiace/respiratorii preexistente.</w:t>
      </w:r>
    </w:p>
    <w:p w14:paraId="1ED638FB"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24. Bazate pe variaţiile de la valorile normale de referinţă la valori cu impact clinic important în orice moment pe parcursul studiului. Variaţiile semnificative clinic ale concentraţiilor plasmatice ale T4 total, T4 liber, T3 total şi T3 liber sunt definite ca &lt;0.8 x LLN (pmol/l) şi TSH &gt; 5 mUI/l la orice determinare.</w:t>
      </w:r>
    </w:p>
    <w:p w14:paraId="1B54ACB5"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25. Bazată pe creşterea frecvenţei episoadelor de vărsături la pacienţii vârtsnici (cu vârsta ≥65 de ani).</w:t>
      </w:r>
    </w:p>
    <w:p w14:paraId="1A726616"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26. Bazată pe scăderi ale neutrofilelor de la valori iniţiale ≥1,5 x 10^9/l la valori &lt;0,5 x 10^9/l în orice moment al tratamentului şi pe cazurile pacienţilor cu neutropenie severă (&lt;0.5 x 109/l) şi infecţie în timpul tuturor studiilor clinice cu quetiapină (Vezi pct. 4.4).</w:t>
      </w:r>
    </w:p>
    <w:p w14:paraId="7FDDD7DD" w14:textId="31C314AA" w:rsidR="00ED21CD"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27. Bazată pe variaţiile de la valori normale la valori cu impact clinic important în orice moment pe parcursul tuturor studiilor. Creşterea eozinefilelor sunt definite ca &gt;1x 10^9 celule/l în orice moment.</w:t>
      </w:r>
    </w:p>
    <w:p w14:paraId="7F9B1F97"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28. Bazată pe variaţiile de la valori normale la valori cu impact clinic important în orice moment pe parcursul tuturor studiilor. Scăderea numărului de leucocite este definită ca ≤ 3X10^9 celule/l în orice moment.</w:t>
      </w:r>
    </w:p>
    <w:p w14:paraId="7D17EEB2"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29. Bazat pe rapoartele de reacţii adverse de sindrom metabolic din toate studiile clinice cu quetiapină.</w:t>
      </w:r>
    </w:p>
    <w:p w14:paraId="1A2D12D6"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30. În studiile clinice, s-a observat la unii pacienţi o modificare în sensul agravării a mai mult de un factor metabolic , cum sunt greutatea, glicemia şi lipidemia (Vezi pct. 4.4).</w:t>
      </w:r>
    </w:p>
    <w:p w14:paraId="4E384C12"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31. Vezi pct. 4.6.</w:t>
      </w:r>
    </w:p>
    <w:p w14:paraId="27DB6D99" w14:textId="60CB2E72"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32. Poate apărea la sau la scurt timp după iniţierea tratamentului şi poate fi asociată cu hipotensiune arterială şi/sau sincopă. Frecvenţă bazată pe raportările de evenimente adverse tip bradicardie şi evenimente asociate din toate studiile cu quetiapină.</w:t>
      </w:r>
    </w:p>
    <w:p w14:paraId="666602F3" w14:textId="77777777" w:rsidR="00ED21CD" w:rsidRPr="00270D5B" w:rsidRDefault="00ED21CD" w:rsidP="002B222E">
      <w:pPr>
        <w:spacing w:after="0"/>
        <w:jc w:val="both"/>
        <w:rPr>
          <w:rFonts w:ascii="Times New Roman" w:hAnsi="Times New Roman" w:cs="Times New Roman"/>
          <w:sz w:val="24"/>
          <w:szCs w:val="24"/>
          <w:lang w:val="ro-RO"/>
        </w:rPr>
      </w:pPr>
    </w:p>
    <w:p w14:paraId="4535B13F" w14:textId="77777777"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Cazurile de prelungire a intervalului QT, aritmie ventriculară, moarte subită cardiacă, stop cardiac şi torsada vârfurilor, au fost raportate la utilizarea de neuroleptice şi sunt considerate efecte de clasă.</w:t>
      </w:r>
    </w:p>
    <w:p w14:paraId="72B36C5A" w14:textId="77777777" w:rsidR="00A66998" w:rsidRPr="00270D5B" w:rsidRDefault="00A66998" w:rsidP="00A66998">
      <w:pPr>
        <w:spacing w:after="0"/>
        <w:jc w:val="both"/>
        <w:rPr>
          <w:rFonts w:ascii="Times New Roman" w:hAnsi="Times New Roman" w:cs="Times New Roman"/>
          <w:sz w:val="24"/>
          <w:szCs w:val="24"/>
          <w:lang w:val="ro-RO"/>
        </w:rPr>
      </w:pPr>
    </w:p>
    <w:p w14:paraId="37DD958E" w14:textId="77777777" w:rsidR="00A66998" w:rsidRPr="00270D5B" w:rsidRDefault="00A66998" w:rsidP="00A66998">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Copii şi adolescenţi</w:t>
      </w:r>
    </w:p>
    <w:p w14:paraId="02AE7366" w14:textId="4ABF2FFE" w:rsidR="00ED21CD"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Aceleaşi reacţii adverse la medicament (RAM) descrise mai sus pentru adulţi trebuie avute în vedere şi în cazul copiilor şi adolescenţilor. Următorul tabel prezintă pe scurt reacţiile adverse ce apar cu o frecvenţă mai mare la copii şi adolescenţi (cu vârsta cuprinsă între 10 şi 17 ani) decât la populaţia adultă sau RAM ce nu au fost identificate la populaţia adultă.</w:t>
      </w:r>
    </w:p>
    <w:p w14:paraId="4D459915" w14:textId="77777777" w:rsidR="00ED21CD" w:rsidRPr="00270D5B" w:rsidRDefault="00ED21CD" w:rsidP="002B222E">
      <w:pPr>
        <w:spacing w:after="0"/>
        <w:jc w:val="both"/>
        <w:rPr>
          <w:rFonts w:ascii="Times New Roman" w:hAnsi="Times New Roman" w:cs="Times New Roman"/>
          <w:sz w:val="24"/>
          <w:szCs w:val="24"/>
          <w:lang w:val="ro-RO"/>
        </w:rPr>
      </w:pPr>
    </w:p>
    <w:p w14:paraId="43EAD0AB" w14:textId="77777777" w:rsidR="00A66998" w:rsidRPr="00270D5B" w:rsidRDefault="00A66998" w:rsidP="00A66998">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Tabelul 2. RAM asociate cu tratamentul cu quetiapină la copii şi adolescenţi care apar cu o frecvenţă mai mare decât la adulţi sau care nu au fost identificate la populaţia adultă.</w:t>
      </w:r>
    </w:p>
    <w:p w14:paraId="77C4700F" w14:textId="2253FFB2" w:rsidR="00A66998" w:rsidRPr="00270D5B" w:rsidRDefault="00A66998" w:rsidP="00A6699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Frecvenţa reacţiilor adverse a fost ierarhizată astfel: foarte frecvente (&gt;1/10), frecvente (&gt;1/100, &lt;1/10), mai puţin frecvente (&gt;1/1000, &lt;1/100), rare (&gt;1/10000, &lt;1/1000) şi foarte rare (&lt;1/10000).</w:t>
      </w:r>
    </w:p>
    <w:p w14:paraId="04AD4DE8" w14:textId="77777777" w:rsidR="00ED21CD" w:rsidRPr="00270D5B" w:rsidRDefault="00ED21CD" w:rsidP="002B222E">
      <w:pPr>
        <w:spacing w:after="0"/>
        <w:jc w:val="both"/>
        <w:rPr>
          <w:rFonts w:ascii="Times New Roman" w:hAnsi="Times New Roman" w:cs="Times New Roman"/>
          <w:sz w:val="24"/>
          <w:szCs w:val="24"/>
          <w:lang w:val="ro-RO"/>
        </w:rPr>
      </w:pPr>
    </w:p>
    <w:tbl>
      <w:tblPr>
        <w:tblStyle w:val="TableGrid"/>
        <w:tblW w:w="0" w:type="auto"/>
        <w:tblLook w:val="04A0" w:firstRow="1" w:lastRow="0" w:firstColumn="1" w:lastColumn="0" w:noHBand="0" w:noVBand="1"/>
      </w:tblPr>
      <w:tblGrid>
        <w:gridCol w:w="3116"/>
        <w:gridCol w:w="3117"/>
        <w:gridCol w:w="3117"/>
      </w:tblGrid>
      <w:tr w:rsidR="00A66998" w:rsidRPr="00270D5B" w14:paraId="64F9D818" w14:textId="77777777" w:rsidTr="00A66998">
        <w:tc>
          <w:tcPr>
            <w:tcW w:w="3116" w:type="dxa"/>
          </w:tcPr>
          <w:p w14:paraId="3D4FEFF4" w14:textId="1ADC6F8C" w:rsidR="00A66998" w:rsidRPr="00270D5B" w:rsidRDefault="00A66998"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Clasificare pe aparate, sisteme şi organe</w:t>
            </w:r>
          </w:p>
        </w:tc>
        <w:tc>
          <w:tcPr>
            <w:tcW w:w="3117" w:type="dxa"/>
          </w:tcPr>
          <w:p w14:paraId="3EB54ABE" w14:textId="1C879CA6" w:rsidR="00A66998" w:rsidRPr="00270D5B" w:rsidRDefault="00A66998" w:rsidP="002B222E">
            <w:pPr>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Foarte frecvente</w:t>
            </w:r>
          </w:p>
        </w:tc>
        <w:tc>
          <w:tcPr>
            <w:tcW w:w="3117" w:type="dxa"/>
          </w:tcPr>
          <w:p w14:paraId="6EE4077B" w14:textId="77777777" w:rsidR="00A66998" w:rsidRPr="00270D5B" w:rsidRDefault="00A66998" w:rsidP="00A66998">
            <w:pPr>
              <w:pStyle w:val="Default"/>
              <w:jc w:val="both"/>
              <w:rPr>
                <w:lang w:val="ro-RO"/>
              </w:rPr>
            </w:pPr>
            <w:r w:rsidRPr="00270D5B">
              <w:rPr>
                <w:b/>
                <w:bCs/>
                <w:lang w:val="ro-RO"/>
              </w:rPr>
              <w:t xml:space="preserve">Frecvente </w:t>
            </w:r>
          </w:p>
          <w:p w14:paraId="4C013277" w14:textId="77777777" w:rsidR="00A66998" w:rsidRPr="00270D5B" w:rsidRDefault="00A66998" w:rsidP="002B222E">
            <w:pPr>
              <w:jc w:val="both"/>
              <w:rPr>
                <w:rFonts w:ascii="Times New Roman" w:hAnsi="Times New Roman" w:cs="Times New Roman"/>
                <w:sz w:val="24"/>
                <w:szCs w:val="24"/>
                <w:lang w:val="ro-RO"/>
              </w:rPr>
            </w:pPr>
          </w:p>
        </w:tc>
      </w:tr>
      <w:tr w:rsidR="00A66998" w:rsidRPr="00270D5B" w14:paraId="1BB9D499" w14:textId="77777777" w:rsidTr="00A66998">
        <w:tc>
          <w:tcPr>
            <w:tcW w:w="3116" w:type="dxa"/>
          </w:tcPr>
          <w:p w14:paraId="5FE3FAE4" w14:textId="4A9F383F" w:rsidR="00A66998" w:rsidRPr="00270D5B" w:rsidRDefault="00A66998"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endocrine</w:t>
            </w:r>
          </w:p>
        </w:tc>
        <w:tc>
          <w:tcPr>
            <w:tcW w:w="3117" w:type="dxa"/>
          </w:tcPr>
          <w:p w14:paraId="481CE56E" w14:textId="1C64BE12" w:rsidR="00A66998" w:rsidRPr="00270D5B" w:rsidRDefault="00A56BF4"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Creştere a prolactinemiei</w:t>
            </w:r>
            <w:r w:rsidRPr="00270D5B">
              <w:rPr>
                <w:rFonts w:ascii="Times New Roman" w:hAnsi="Times New Roman" w:cs="Times New Roman"/>
                <w:sz w:val="24"/>
                <w:szCs w:val="24"/>
                <w:vertAlign w:val="superscript"/>
                <w:lang w:val="ro-RO"/>
              </w:rPr>
              <w:t>1</w:t>
            </w:r>
          </w:p>
        </w:tc>
        <w:tc>
          <w:tcPr>
            <w:tcW w:w="3117" w:type="dxa"/>
          </w:tcPr>
          <w:p w14:paraId="179A7652" w14:textId="77777777" w:rsidR="00A66998" w:rsidRPr="00270D5B" w:rsidRDefault="00A66998" w:rsidP="002B222E">
            <w:pPr>
              <w:jc w:val="both"/>
              <w:rPr>
                <w:rFonts w:ascii="Times New Roman" w:hAnsi="Times New Roman" w:cs="Times New Roman"/>
                <w:sz w:val="24"/>
                <w:szCs w:val="24"/>
                <w:lang w:val="ro-RO"/>
              </w:rPr>
            </w:pPr>
          </w:p>
        </w:tc>
      </w:tr>
      <w:tr w:rsidR="00A66998" w:rsidRPr="00270D5B" w14:paraId="26DDCD60" w14:textId="77777777" w:rsidTr="00A66998">
        <w:tc>
          <w:tcPr>
            <w:tcW w:w="3116" w:type="dxa"/>
          </w:tcPr>
          <w:p w14:paraId="431DBCE3" w14:textId="6745AA45" w:rsidR="00A66998" w:rsidRPr="00270D5B" w:rsidRDefault="00A66998"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metabolice şi de nutriţie</w:t>
            </w:r>
          </w:p>
        </w:tc>
        <w:tc>
          <w:tcPr>
            <w:tcW w:w="3117" w:type="dxa"/>
          </w:tcPr>
          <w:p w14:paraId="66E418FE" w14:textId="1BE5EA23" w:rsidR="00A66998" w:rsidRPr="00270D5B" w:rsidRDefault="00A56BF4"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Creştere a apetitului alimentar</w:t>
            </w:r>
          </w:p>
        </w:tc>
        <w:tc>
          <w:tcPr>
            <w:tcW w:w="3117" w:type="dxa"/>
          </w:tcPr>
          <w:p w14:paraId="579FC1E2" w14:textId="77777777" w:rsidR="00A66998" w:rsidRPr="00270D5B" w:rsidRDefault="00A66998" w:rsidP="002B222E">
            <w:pPr>
              <w:jc w:val="both"/>
              <w:rPr>
                <w:rFonts w:ascii="Times New Roman" w:hAnsi="Times New Roman" w:cs="Times New Roman"/>
                <w:sz w:val="24"/>
                <w:szCs w:val="24"/>
                <w:lang w:val="ro-RO"/>
              </w:rPr>
            </w:pPr>
          </w:p>
        </w:tc>
      </w:tr>
      <w:tr w:rsidR="00A66998" w:rsidRPr="00270D5B" w14:paraId="2D47262F" w14:textId="77777777" w:rsidTr="00A66998">
        <w:tc>
          <w:tcPr>
            <w:tcW w:w="3116" w:type="dxa"/>
          </w:tcPr>
          <w:p w14:paraId="261CA049" w14:textId="0E4305BE" w:rsidR="00A66998" w:rsidRPr="00270D5B" w:rsidRDefault="00A66998"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ale sistemului nervos</w:t>
            </w:r>
          </w:p>
        </w:tc>
        <w:tc>
          <w:tcPr>
            <w:tcW w:w="3117" w:type="dxa"/>
          </w:tcPr>
          <w:p w14:paraId="333DE424" w14:textId="6C2A410E" w:rsidR="00A66998" w:rsidRPr="00270D5B" w:rsidRDefault="00A56BF4"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Simptome extrapiramidale </w:t>
            </w:r>
            <w:r w:rsidRPr="00270D5B">
              <w:rPr>
                <w:rFonts w:ascii="Times New Roman" w:hAnsi="Times New Roman" w:cs="Times New Roman"/>
                <w:sz w:val="24"/>
                <w:szCs w:val="24"/>
                <w:vertAlign w:val="superscript"/>
                <w:lang w:val="ro-RO"/>
              </w:rPr>
              <w:t>3, 4</w:t>
            </w:r>
          </w:p>
        </w:tc>
        <w:tc>
          <w:tcPr>
            <w:tcW w:w="3117" w:type="dxa"/>
          </w:tcPr>
          <w:p w14:paraId="686607D3" w14:textId="7BA89723" w:rsidR="00A66998" w:rsidRPr="00270D5B" w:rsidRDefault="00A56BF4"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Sincopă</w:t>
            </w:r>
          </w:p>
        </w:tc>
      </w:tr>
      <w:tr w:rsidR="00A66998" w:rsidRPr="00270D5B" w14:paraId="1962ED70" w14:textId="77777777" w:rsidTr="00A66998">
        <w:tc>
          <w:tcPr>
            <w:tcW w:w="3116" w:type="dxa"/>
          </w:tcPr>
          <w:p w14:paraId="436F3106" w14:textId="7F0A47F7" w:rsidR="00A66998" w:rsidRPr="00270D5B" w:rsidRDefault="008474E0"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vasculare</w:t>
            </w:r>
          </w:p>
        </w:tc>
        <w:tc>
          <w:tcPr>
            <w:tcW w:w="3117" w:type="dxa"/>
          </w:tcPr>
          <w:p w14:paraId="1BB89E68" w14:textId="2B051459" w:rsidR="00A66998" w:rsidRPr="00270D5B" w:rsidRDefault="00A56BF4"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Creştere a tensiunii arteriale</w:t>
            </w:r>
            <w:r w:rsidRPr="00270D5B">
              <w:rPr>
                <w:rFonts w:ascii="Times New Roman" w:hAnsi="Times New Roman" w:cs="Times New Roman"/>
                <w:sz w:val="24"/>
                <w:szCs w:val="24"/>
                <w:vertAlign w:val="superscript"/>
                <w:lang w:val="ro-RO"/>
              </w:rPr>
              <w:t>2</w:t>
            </w:r>
          </w:p>
        </w:tc>
        <w:tc>
          <w:tcPr>
            <w:tcW w:w="3117" w:type="dxa"/>
          </w:tcPr>
          <w:p w14:paraId="14A1AC7D" w14:textId="77777777" w:rsidR="00A66998" w:rsidRPr="00270D5B" w:rsidRDefault="00A66998" w:rsidP="002B222E">
            <w:pPr>
              <w:jc w:val="both"/>
              <w:rPr>
                <w:rFonts w:ascii="Times New Roman" w:hAnsi="Times New Roman" w:cs="Times New Roman"/>
                <w:sz w:val="24"/>
                <w:szCs w:val="24"/>
                <w:lang w:val="ro-RO"/>
              </w:rPr>
            </w:pPr>
          </w:p>
        </w:tc>
      </w:tr>
      <w:tr w:rsidR="008474E0" w:rsidRPr="00270D5B" w14:paraId="211E802A" w14:textId="77777777" w:rsidTr="00A66998">
        <w:tc>
          <w:tcPr>
            <w:tcW w:w="3116" w:type="dxa"/>
          </w:tcPr>
          <w:p w14:paraId="0B95B683" w14:textId="4E941322" w:rsidR="008474E0" w:rsidRPr="00270D5B" w:rsidRDefault="00A56BF4" w:rsidP="00A56BF4">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respiratorii, toracice şi mediastinale</w:t>
            </w:r>
          </w:p>
        </w:tc>
        <w:tc>
          <w:tcPr>
            <w:tcW w:w="3117" w:type="dxa"/>
          </w:tcPr>
          <w:p w14:paraId="098779F6" w14:textId="77777777" w:rsidR="008474E0" w:rsidRPr="00270D5B" w:rsidRDefault="008474E0" w:rsidP="002B222E">
            <w:pPr>
              <w:jc w:val="both"/>
              <w:rPr>
                <w:rFonts w:ascii="Times New Roman" w:hAnsi="Times New Roman" w:cs="Times New Roman"/>
                <w:sz w:val="24"/>
                <w:szCs w:val="24"/>
                <w:lang w:val="ro-RO"/>
              </w:rPr>
            </w:pPr>
          </w:p>
        </w:tc>
        <w:tc>
          <w:tcPr>
            <w:tcW w:w="3117" w:type="dxa"/>
          </w:tcPr>
          <w:p w14:paraId="2D5E98F3" w14:textId="39FB6522" w:rsidR="008474E0" w:rsidRPr="00270D5B" w:rsidRDefault="00A56BF4"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Rinită</w:t>
            </w:r>
          </w:p>
        </w:tc>
      </w:tr>
      <w:tr w:rsidR="008474E0" w:rsidRPr="00270D5B" w14:paraId="6B492AA6" w14:textId="77777777" w:rsidTr="00A66998">
        <w:tc>
          <w:tcPr>
            <w:tcW w:w="3116" w:type="dxa"/>
          </w:tcPr>
          <w:p w14:paraId="5E820A6A" w14:textId="1CFDFD64" w:rsidR="008474E0" w:rsidRPr="00270D5B" w:rsidRDefault="00A56BF4" w:rsidP="002B222E">
            <w:pPr>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Tulburări gastro-intestinale</w:t>
            </w:r>
          </w:p>
        </w:tc>
        <w:tc>
          <w:tcPr>
            <w:tcW w:w="3117" w:type="dxa"/>
          </w:tcPr>
          <w:p w14:paraId="3DD66CCF" w14:textId="38D0B435" w:rsidR="008474E0" w:rsidRPr="00270D5B" w:rsidRDefault="00A56BF4"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Vărsături</w:t>
            </w:r>
          </w:p>
        </w:tc>
        <w:tc>
          <w:tcPr>
            <w:tcW w:w="3117" w:type="dxa"/>
          </w:tcPr>
          <w:p w14:paraId="6619150B" w14:textId="77777777" w:rsidR="008474E0" w:rsidRPr="00270D5B" w:rsidRDefault="008474E0" w:rsidP="002B222E">
            <w:pPr>
              <w:jc w:val="both"/>
              <w:rPr>
                <w:rFonts w:ascii="Times New Roman" w:hAnsi="Times New Roman" w:cs="Times New Roman"/>
                <w:sz w:val="24"/>
                <w:szCs w:val="24"/>
                <w:lang w:val="ro-RO"/>
              </w:rPr>
            </w:pPr>
          </w:p>
        </w:tc>
      </w:tr>
      <w:tr w:rsidR="00A66998" w:rsidRPr="00270D5B" w14:paraId="255B5E69" w14:textId="77777777" w:rsidTr="00A66998">
        <w:tc>
          <w:tcPr>
            <w:tcW w:w="3116" w:type="dxa"/>
          </w:tcPr>
          <w:p w14:paraId="1D90AE92" w14:textId="656BB1DA" w:rsidR="00A66998" w:rsidRPr="00270D5B" w:rsidRDefault="00A56BF4" w:rsidP="00A56BF4">
            <w:pPr>
              <w:jc w:val="both"/>
              <w:rPr>
                <w:rFonts w:ascii="Times New Roman" w:hAnsi="Times New Roman" w:cs="Times New Roman"/>
                <w:sz w:val="24"/>
                <w:szCs w:val="24"/>
                <w:lang w:val="ro-RO"/>
              </w:rPr>
            </w:pPr>
            <w:r w:rsidRPr="00270D5B">
              <w:rPr>
                <w:rFonts w:ascii="Times New Roman" w:hAnsi="Times New Roman" w:cs="Times New Roman"/>
                <w:i/>
                <w:iCs/>
                <w:sz w:val="24"/>
                <w:szCs w:val="24"/>
                <w:lang w:val="ro-RO"/>
              </w:rPr>
              <w:t>Tulburări generale şi la nivelul locului de administrare</w:t>
            </w:r>
          </w:p>
        </w:tc>
        <w:tc>
          <w:tcPr>
            <w:tcW w:w="3117" w:type="dxa"/>
          </w:tcPr>
          <w:p w14:paraId="5285D42E" w14:textId="77777777" w:rsidR="00A66998" w:rsidRPr="00270D5B" w:rsidRDefault="00A66998" w:rsidP="002B222E">
            <w:pPr>
              <w:jc w:val="both"/>
              <w:rPr>
                <w:rFonts w:ascii="Times New Roman" w:hAnsi="Times New Roman" w:cs="Times New Roman"/>
                <w:sz w:val="24"/>
                <w:szCs w:val="24"/>
                <w:lang w:val="ro-RO"/>
              </w:rPr>
            </w:pPr>
          </w:p>
        </w:tc>
        <w:tc>
          <w:tcPr>
            <w:tcW w:w="3117" w:type="dxa"/>
          </w:tcPr>
          <w:p w14:paraId="7329CAF0" w14:textId="4DF4F55D" w:rsidR="00A66998" w:rsidRPr="00270D5B" w:rsidRDefault="00A56BF4" w:rsidP="002B222E">
            <w:pPr>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Iritabilitate</w:t>
            </w:r>
            <w:r w:rsidRPr="00270D5B">
              <w:rPr>
                <w:rFonts w:ascii="Times New Roman" w:hAnsi="Times New Roman" w:cs="Times New Roman"/>
                <w:sz w:val="24"/>
                <w:szCs w:val="24"/>
                <w:vertAlign w:val="superscript"/>
                <w:lang w:val="ro-RO"/>
              </w:rPr>
              <w:t>3</w:t>
            </w:r>
          </w:p>
        </w:tc>
      </w:tr>
    </w:tbl>
    <w:p w14:paraId="2D2B2EF4" w14:textId="77777777" w:rsidR="00A56BF4" w:rsidRPr="00270D5B" w:rsidRDefault="00A56BF4" w:rsidP="00A56BF4">
      <w:pPr>
        <w:spacing w:after="0"/>
        <w:jc w:val="both"/>
        <w:rPr>
          <w:rFonts w:ascii="Times New Roman" w:hAnsi="Times New Roman" w:cs="Times New Roman"/>
          <w:sz w:val="24"/>
          <w:szCs w:val="24"/>
          <w:lang w:val="ro-RO"/>
        </w:rPr>
      </w:pPr>
    </w:p>
    <w:p w14:paraId="31F43ED6" w14:textId="749AD46F"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1. Concentraţiile plasmatice ale prolactinei (pacienţi &lt; 18 ani): &gt; 20 μg/l (&gt; 869,56 pmol/l) la băieţi; &gt; 26 μg/l (&gt;1130,428 pmol/l) la fetiţe la orice moment. Mai puţin de 1% din pacienţi au prezentat o creştere a valorii de prolactină &gt; 100 μg/l.</w:t>
      </w:r>
    </w:p>
    <w:p w14:paraId="6368E24A" w14:textId="0E866655"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 Pe baza modificărilor clinice peste valorile prag semnificative (adaptate după criteriile Institutului Naţional de Sănătate) sau creşterea &gt; 20 mm Hg pentru valoarea tensiunii arteriale sistolice sau &gt; 10 mm Hg pentru valoarea tensiunii arteriale diastolice la orice moment în 2 studii pe termen scurt (3-6 săptămâni) placebo controlate la copii şi adolescenţi.</w:t>
      </w:r>
    </w:p>
    <w:p w14:paraId="1EF27BBD" w14:textId="73288D9C"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3. Notă: frecvenţa este concordantă cu cea observată la adulţi, dar poate avea implicaţii clinice diferite la copii şi adolescenţi, comparativ cu adulţii.</w:t>
      </w:r>
    </w:p>
    <w:p w14:paraId="110BBF0F" w14:textId="5781BB94" w:rsidR="00C13EEC"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4. Vezi pct. 5.1</w:t>
      </w:r>
    </w:p>
    <w:p w14:paraId="62C78471" w14:textId="77777777" w:rsidR="007C0841" w:rsidRPr="00270D5B" w:rsidRDefault="007C0841" w:rsidP="002B222E">
      <w:pPr>
        <w:spacing w:after="0"/>
        <w:jc w:val="both"/>
        <w:rPr>
          <w:rFonts w:ascii="Times New Roman" w:hAnsi="Times New Roman" w:cs="Times New Roman"/>
          <w:sz w:val="24"/>
          <w:szCs w:val="24"/>
          <w:lang w:val="ro-RO"/>
        </w:rPr>
      </w:pPr>
    </w:p>
    <w:p w14:paraId="57857825"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Raportarea reacţiilor adverse suspectate</w:t>
      </w:r>
    </w:p>
    <w:p w14:paraId="365F0081" w14:textId="77777777" w:rsidR="00C823F0" w:rsidRPr="00270D5B" w:rsidRDefault="00C823F0"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Raportarea reacțiilor adverse suspectate după autorizarea medicamentului este importantă. Aceаsta permite monitorizarea în continuare a raportului beneficiu/risc al medicamentului. Profesioniștii din domeniul sănătății sunt rugați să raporteze orice reacții adverse suspectate, prin intermediul</w:t>
      </w:r>
    </w:p>
    <w:p w14:paraId="75A31F44" w14:textId="77777777" w:rsidR="00C823F0" w:rsidRPr="00270D5B" w:rsidRDefault="00C823F0"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sistemului național de raportare disponibil pe site-ul oficial al Agenţiei Medicamentului şi Dispozitivelor Medicale la următoarea adresă web: www.amdm.gov.md sau e-mail: </w:t>
      </w:r>
      <w:hyperlink r:id="rId5" w:history="1">
        <w:r w:rsidRPr="00270D5B">
          <w:rPr>
            <w:rStyle w:val="Hyperlink"/>
            <w:rFonts w:ascii="Times New Roman" w:hAnsi="Times New Roman" w:cs="Times New Roman"/>
            <w:sz w:val="24"/>
            <w:szCs w:val="24"/>
            <w:lang w:val="ro-RO"/>
          </w:rPr>
          <w:t>farmacovigilenta@amdm.gov.md</w:t>
        </w:r>
      </w:hyperlink>
      <w:r w:rsidRPr="00270D5B">
        <w:rPr>
          <w:rFonts w:ascii="Times New Roman" w:hAnsi="Times New Roman" w:cs="Times New Roman"/>
          <w:sz w:val="24"/>
          <w:szCs w:val="24"/>
          <w:lang w:val="ro-RO"/>
        </w:rPr>
        <w:t>.</w:t>
      </w:r>
    </w:p>
    <w:p w14:paraId="0DF35BB5" w14:textId="77777777" w:rsidR="00C823F0" w:rsidRPr="00270D5B" w:rsidRDefault="00C823F0" w:rsidP="002B222E">
      <w:pPr>
        <w:spacing w:after="0"/>
        <w:jc w:val="both"/>
        <w:rPr>
          <w:rFonts w:ascii="Times New Roman" w:hAnsi="Times New Roman" w:cs="Times New Roman"/>
          <w:sz w:val="24"/>
          <w:szCs w:val="24"/>
          <w:lang w:val="ro-RO"/>
        </w:rPr>
      </w:pPr>
    </w:p>
    <w:p w14:paraId="4C11E6BA"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4.9 Supradozaj</w:t>
      </w:r>
    </w:p>
    <w:p w14:paraId="1BA9847F" w14:textId="77777777" w:rsidR="00A56BF4" w:rsidRPr="00270D5B" w:rsidRDefault="00A56BF4" w:rsidP="00A56BF4">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Simptome</w:t>
      </w:r>
    </w:p>
    <w:p w14:paraId="5E499231" w14:textId="66F64CA0" w:rsidR="0017280C"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general, semnele şi simptomele raportate se datorează exacerbării efectelor farmacologice cunoscute, de exemplu ameţeli şi sedare, tahicardie şi hipotensiune arterială. Supradozajul poate duce la prelungirea intervalului QT, convulsii, status epilepticus, rabdomioliză, depresie respiratorie, retenţie urinară, confuzie, delir şi/sau agitaţie, comă şi moarte. Pacienţii cu boală cardiacă severă pre-existentă pot avea un risc mai mare de apariţie al efectelor supradozajului (vezi şi pct. 4.4. Hipotensiune arterială ortostatică).</w:t>
      </w:r>
    </w:p>
    <w:p w14:paraId="54251D14" w14:textId="77777777" w:rsidR="00A56BF4" w:rsidRPr="00270D5B" w:rsidRDefault="00A56BF4" w:rsidP="002B222E">
      <w:pPr>
        <w:spacing w:after="0"/>
        <w:jc w:val="both"/>
        <w:rPr>
          <w:rFonts w:ascii="Times New Roman" w:hAnsi="Times New Roman" w:cs="Times New Roman"/>
          <w:sz w:val="24"/>
          <w:szCs w:val="24"/>
          <w:u w:val="single"/>
          <w:lang w:val="ro-RO"/>
        </w:rPr>
      </w:pPr>
    </w:p>
    <w:p w14:paraId="1C6D636B" w14:textId="77777777" w:rsidR="00A56BF4" w:rsidRPr="00270D5B" w:rsidRDefault="00A56BF4" w:rsidP="00A56BF4">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Tratamentul supradozajului</w:t>
      </w:r>
    </w:p>
    <w:p w14:paraId="676A955E" w14:textId="1D849251"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Nu există un antidot specific al quetiapinei. În cazurile de intoxicaţie severă, trebuie luată în considerare posibilitatea administrării mai multor medicamente şi se recomandă tratament de susţinere a funcţiilor vitale, eliberarea şi menţinerea permeabilităţii căilor respiratorii şi asigurarea unei oxigenări si ventilaţii adecvate şi monitorizarea şi susţinerea sistemului cardiovascular.</w:t>
      </w:r>
    </w:p>
    <w:p w14:paraId="1D4DB394" w14:textId="77777777" w:rsidR="00A56BF4" w:rsidRPr="00270D5B" w:rsidRDefault="00A56BF4" w:rsidP="00A56BF4">
      <w:pPr>
        <w:spacing w:after="0"/>
        <w:jc w:val="both"/>
        <w:rPr>
          <w:rFonts w:ascii="Times New Roman" w:hAnsi="Times New Roman" w:cs="Times New Roman"/>
          <w:sz w:val="24"/>
          <w:szCs w:val="24"/>
          <w:lang w:val="ro-RO"/>
        </w:rPr>
      </w:pPr>
    </w:p>
    <w:p w14:paraId="2C32E233" w14:textId="48683CF5"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Pe baza datelor publicate, pacienţii cu delir şi agitaţie şi sindrom anticolinergic diagnosticat pot fi trataţi cu fisostigmină, 1-2 mg (sub monitorizarea continuă a EKG). Aceasta nu este recomandată ca un tratament standard, din cauza potenţialului efect negativ al fisostigminei asupra conductibilităţii cardiace. Fisostigmina poate fi folosită dacă nu există modificări ale EKG. A nu se utiliza fisostigmina în cazul aritmiilor sau oricărui grad de bloc cardiac sau lărgire a QRS.</w:t>
      </w:r>
    </w:p>
    <w:p w14:paraId="6C523DE0" w14:textId="77777777" w:rsidR="00A56BF4" w:rsidRPr="00270D5B" w:rsidRDefault="00A56BF4" w:rsidP="00A56BF4">
      <w:pPr>
        <w:spacing w:after="0"/>
        <w:jc w:val="both"/>
        <w:rPr>
          <w:rFonts w:ascii="Times New Roman" w:hAnsi="Times New Roman" w:cs="Times New Roman"/>
          <w:sz w:val="24"/>
          <w:szCs w:val="24"/>
          <w:lang w:val="ro-RO"/>
        </w:rPr>
      </w:pPr>
    </w:p>
    <w:p w14:paraId="2127FEAE" w14:textId="461B1AF9"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Deoarece nu a fost investigat modul de prevenire a absorbţiei în caz de supradozaj, lavajul gastric poate fi indicat în intoxicaţia severă, dacă este posibil la maximum o oră după ingestie. Administrarea de cărbune activat trebuie avută în vedere.</w:t>
      </w:r>
    </w:p>
    <w:p w14:paraId="6FCBC383" w14:textId="77777777" w:rsidR="00A56BF4" w:rsidRPr="00270D5B" w:rsidRDefault="00A56BF4" w:rsidP="00A56BF4">
      <w:pPr>
        <w:spacing w:after="0"/>
        <w:jc w:val="both"/>
        <w:rPr>
          <w:rFonts w:ascii="Times New Roman" w:hAnsi="Times New Roman" w:cs="Times New Roman"/>
          <w:sz w:val="24"/>
          <w:szCs w:val="24"/>
          <w:lang w:val="ro-RO"/>
        </w:rPr>
      </w:pPr>
    </w:p>
    <w:p w14:paraId="16621C6D" w14:textId="77777777"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cazul supradozajului cu quetiapină, hipotensiunea arterială refractară trebuie tratată prin măsuri</w:t>
      </w:r>
    </w:p>
    <w:p w14:paraId="49AAC59E" w14:textId="5F98E1BF"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adecvate, cum sunt: administrarea intravenoasă de lichide şi/sau medicamente simpatomimetice. Trebuie evitată administrarea de adrenalină şi dopamină, întrucât beta stimularea poate agrava hipotensiunea arterială în condiţiile alfa blocadei induse de quetiapină.</w:t>
      </w:r>
    </w:p>
    <w:p w14:paraId="7F3568A1" w14:textId="77777777" w:rsidR="00A56BF4" w:rsidRPr="00270D5B" w:rsidRDefault="00A56BF4" w:rsidP="00A56BF4">
      <w:pPr>
        <w:spacing w:after="0"/>
        <w:jc w:val="both"/>
        <w:rPr>
          <w:rFonts w:ascii="Times New Roman" w:hAnsi="Times New Roman" w:cs="Times New Roman"/>
          <w:sz w:val="24"/>
          <w:szCs w:val="24"/>
          <w:lang w:val="ro-RO"/>
        </w:rPr>
      </w:pPr>
    </w:p>
    <w:p w14:paraId="13BF17B1" w14:textId="1D2CD5DE" w:rsidR="00F07A5E" w:rsidRPr="00DF4666" w:rsidRDefault="00F07A5E" w:rsidP="00A56BF4">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t>În caz de supradozaj cu quetiapină cu eliberare prelungită există o sedare de vârf întârziată și puls maxim și recuperare prelungită comparativ cu supradozajul cu quetiapină cu eliberare imediată.</w:t>
      </w:r>
    </w:p>
    <w:p w14:paraId="07D7A40F" w14:textId="77777777" w:rsidR="00F07A5E" w:rsidRPr="00270D5B" w:rsidRDefault="00F07A5E" w:rsidP="00A56BF4">
      <w:pPr>
        <w:spacing w:after="0"/>
        <w:jc w:val="both"/>
        <w:rPr>
          <w:rFonts w:ascii="Times New Roman" w:hAnsi="Times New Roman" w:cs="Times New Roman"/>
          <w:sz w:val="24"/>
          <w:szCs w:val="24"/>
          <w:lang w:val="ro-RO"/>
        </w:rPr>
      </w:pPr>
    </w:p>
    <w:p w14:paraId="418388E2" w14:textId="5D88F0D6" w:rsidR="00F07A5E" w:rsidRPr="00DF4666" w:rsidRDefault="00F07A5E" w:rsidP="00A56BF4">
      <w:pPr>
        <w:spacing w:after="0"/>
        <w:jc w:val="both"/>
        <w:rPr>
          <w:rFonts w:ascii="Times New Roman" w:hAnsi="Times New Roman" w:cs="Times New Roman"/>
          <w:sz w:val="24"/>
          <w:szCs w:val="24"/>
          <w:lang w:val="ro-RO"/>
        </w:rPr>
      </w:pPr>
      <w:r w:rsidRPr="00DF4666">
        <w:rPr>
          <w:rFonts w:ascii="Times New Roman" w:hAnsi="Times New Roman" w:cs="Times New Roman"/>
          <w:sz w:val="24"/>
          <w:szCs w:val="24"/>
          <w:lang w:val="ro-RO"/>
        </w:rPr>
        <w:lastRenderedPageBreak/>
        <w:t>În cazul unui supradozaj cu quetiapină sub forma farmaceutică eliberare prelungită a fost raportată apariția unui bezoar gastric și se recomandă un diagnostic imagistic adecvat pentru abordarea terapeutică ulterioară a pacientului. Este posibil ca lavajul gastric de rutină să nu fie eficient pentru îndepărtarea bezoarului, datorită consistenței lipicioase a acestuia. Îndepărtarea endoscopică a bezoarului a fost efectuată cu succes în unele cazuri.</w:t>
      </w:r>
    </w:p>
    <w:p w14:paraId="62FD5087" w14:textId="77777777" w:rsidR="00F07A5E" w:rsidRPr="00270D5B" w:rsidRDefault="00F07A5E" w:rsidP="00A56BF4">
      <w:pPr>
        <w:spacing w:after="0"/>
        <w:jc w:val="both"/>
        <w:rPr>
          <w:rFonts w:ascii="Times New Roman" w:hAnsi="Times New Roman" w:cs="Times New Roman"/>
          <w:sz w:val="24"/>
          <w:szCs w:val="24"/>
          <w:lang w:val="ro-RO"/>
        </w:rPr>
      </w:pPr>
    </w:p>
    <w:p w14:paraId="3267DEE9" w14:textId="77186DB3"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Se va continua supravegherea medicală şi monitorizarea atentă până la recuperarea pacientului.</w:t>
      </w:r>
    </w:p>
    <w:p w14:paraId="5CF2634C" w14:textId="77777777" w:rsidR="00F07A5E" w:rsidRDefault="00F07A5E" w:rsidP="002B222E">
      <w:pPr>
        <w:spacing w:after="0"/>
        <w:jc w:val="both"/>
        <w:rPr>
          <w:rFonts w:ascii="Times New Roman" w:hAnsi="Times New Roman" w:cs="Times New Roman"/>
          <w:sz w:val="24"/>
          <w:szCs w:val="24"/>
          <w:u w:val="single"/>
          <w:lang w:val="ro-RO"/>
        </w:rPr>
      </w:pPr>
    </w:p>
    <w:p w14:paraId="48790D2D" w14:textId="77777777" w:rsidR="00325CCA" w:rsidRPr="00270D5B" w:rsidRDefault="00325CCA" w:rsidP="002B222E">
      <w:pPr>
        <w:spacing w:after="0"/>
        <w:jc w:val="both"/>
        <w:rPr>
          <w:rFonts w:ascii="Times New Roman" w:hAnsi="Times New Roman" w:cs="Times New Roman"/>
          <w:sz w:val="24"/>
          <w:szCs w:val="24"/>
          <w:u w:val="single"/>
          <w:lang w:val="ro-RO"/>
        </w:rPr>
      </w:pPr>
    </w:p>
    <w:p w14:paraId="67863801" w14:textId="3EFBEB63"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5. PROPRIETĂŢI FARMACOLOGICE</w:t>
      </w:r>
    </w:p>
    <w:p w14:paraId="231F6804"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5.1 Proprietăţi farmacodinamice</w:t>
      </w:r>
    </w:p>
    <w:p w14:paraId="2DA06F47" w14:textId="77777777"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Grupa farmacoterapeutică: Antipsihotice; Diazepine, oxazepine şi tiazepine</w:t>
      </w:r>
    </w:p>
    <w:p w14:paraId="3E530F18" w14:textId="7ED9D307" w:rsidR="00C13EEC"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Codul ATC: N05AH04.</w:t>
      </w:r>
    </w:p>
    <w:p w14:paraId="598C32B8" w14:textId="77777777" w:rsidR="00A56BF4" w:rsidRPr="00270D5B" w:rsidRDefault="00A56BF4" w:rsidP="00A56BF4">
      <w:pPr>
        <w:spacing w:after="0"/>
        <w:jc w:val="both"/>
        <w:rPr>
          <w:rFonts w:ascii="Times New Roman" w:hAnsi="Times New Roman" w:cs="Times New Roman"/>
          <w:sz w:val="24"/>
          <w:szCs w:val="24"/>
          <w:lang w:val="ro-RO"/>
        </w:rPr>
      </w:pPr>
    </w:p>
    <w:p w14:paraId="1C1DC4E9" w14:textId="77777777" w:rsidR="0017280C" w:rsidRPr="00270D5B" w:rsidRDefault="0017280C" w:rsidP="002B222E">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 xml:space="preserve">Mecanism de acțiune   </w:t>
      </w:r>
    </w:p>
    <w:p w14:paraId="0856BD6C" w14:textId="77777777" w:rsidR="00A56BF4"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Quetiapina este un antipsihotic atipic. Quetiapina şi metabolitul ei activ plasmatic, norquetiapina,</w:t>
      </w:r>
    </w:p>
    <w:p w14:paraId="76809BDE" w14:textId="337D22A0" w:rsidR="0017280C"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interacţionează cu un spectru larg de receptori ai neurotransmiţătorilor. Quetiapina şi norquetiapina au o afinitate mai mare pentru receptorii serotoninergici (5HT</w:t>
      </w:r>
      <w:r w:rsidRPr="00270D5B">
        <w:rPr>
          <w:rFonts w:ascii="Times New Roman" w:hAnsi="Times New Roman" w:cs="Times New Roman"/>
          <w:sz w:val="24"/>
          <w:szCs w:val="24"/>
          <w:vertAlign w:val="subscript"/>
          <w:lang w:val="ro-RO"/>
        </w:rPr>
        <w:t>2</w:t>
      </w:r>
      <w:r w:rsidRPr="00270D5B">
        <w:rPr>
          <w:rFonts w:ascii="Times New Roman" w:hAnsi="Times New Roman" w:cs="Times New Roman"/>
          <w:sz w:val="24"/>
          <w:szCs w:val="24"/>
          <w:lang w:val="ro-RO"/>
        </w:rPr>
        <w:t>) cât şi pentru cei dopaminergici (D</w:t>
      </w:r>
      <w:r w:rsidRPr="00270D5B">
        <w:rPr>
          <w:rFonts w:ascii="Times New Roman" w:hAnsi="Times New Roman" w:cs="Times New Roman"/>
          <w:sz w:val="24"/>
          <w:szCs w:val="24"/>
          <w:vertAlign w:val="subscript"/>
          <w:lang w:val="ro-RO"/>
        </w:rPr>
        <w:t>1</w:t>
      </w:r>
      <w:r w:rsidRPr="00270D5B">
        <w:rPr>
          <w:rFonts w:ascii="Times New Roman" w:hAnsi="Times New Roman" w:cs="Times New Roman"/>
          <w:sz w:val="24"/>
          <w:szCs w:val="24"/>
          <w:lang w:val="ro-RO"/>
        </w:rPr>
        <w:t xml:space="preserve"> şi D</w:t>
      </w:r>
      <w:r w:rsidRPr="00270D5B">
        <w:rPr>
          <w:rFonts w:ascii="Times New Roman" w:hAnsi="Times New Roman" w:cs="Times New Roman"/>
          <w:sz w:val="24"/>
          <w:szCs w:val="24"/>
          <w:vertAlign w:val="subscript"/>
          <w:lang w:val="ro-RO"/>
        </w:rPr>
        <w:t>2</w:t>
      </w:r>
      <w:r w:rsidRPr="00270D5B">
        <w:rPr>
          <w:rFonts w:ascii="Times New Roman" w:hAnsi="Times New Roman" w:cs="Times New Roman"/>
          <w:sz w:val="24"/>
          <w:szCs w:val="24"/>
          <w:lang w:val="ro-RO"/>
        </w:rPr>
        <w:t>), de la nivel central. Se consideră că această acţiune mixtă de antagonism faţă de receptori, cu selectivitate mai mare pentru receptorii serotoninergici 5HT</w:t>
      </w:r>
      <w:r w:rsidRPr="00270D5B">
        <w:rPr>
          <w:rFonts w:ascii="Times New Roman" w:hAnsi="Times New Roman" w:cs="Times New Roman"/>
          <w:sz w:val="24"/>
          <w:szCs w:val="24"/>
          <w:vertAlign w:val="subscript"/>
          <w:lang w:val="ro-RO"/>
        </w:rPr>
        <w:t>2</w:t>
      </w:r>
      <w:r w:rsidRPr="00270D5B">
        <w:rPr>
          <w:rFonts w:ascii="Times New Roman" w:hAnsi="Times New Roman" w:cs="Times New Roman"/>
          <w:sz w:val="24"/>
          <w:szCs w:val="24"/>
          <w:lang w:val="ro-RO"/>
        </w:rPr>
        <w:t>, decât pentru receptorii D</w:t>
      </w:r>
      <w:r w:rsidRPr="00270D5B">
        <w:rPr>
          <w:rFonts w:ascii="Times New Roman" w:hAnsi="Times New Roman" w:cs="Times New Roman"/>
          <w:sz w:val="24"/>
          <w:szCs w:val="24"/>
          <w:vertAlign w:val="subscript"/>
          <w:lang w:val="ro-RO"/>
        </w:rPr>
        <w:t>2</w:t>
      </w:r>
      <w:r w:rsidRPr="00270D5B">
        <w:rPr>
          <w:rFonts w:ascii="Times New Roman" w:hAnsi="Times New Roman" w:cs="Times New Roman"/>
          <w:sz w:val="24"/>
          <w:szCs w:val="24"/>
          <w:lang w:val="ro-RO"/>
        </w:rPr>
        <w:t>, stă atât la baza proprietăţilor antipsihotice ale quetiapinei cât şi a manifestării reduse a simptomelor extrapiramidale (SEP) comparativ cu antipsihotice tipice. Quetiapina şi norquetiapina nu au afinitate ridicată pentru receptorii benzodiazepinici, însă au o afinitate mare pentru receptorii histaminergici şi alfa1-adrenergici, o afinitate moderată faţă de receptorii alfa</w:t>
      </w:r>
      <w:r w:rsidRPr="00270D5B">
        <w:rPr>
          <w:rFonts w:ascii="Times New Roman" w:hAnsi="Times New Roman" w:cs="Times New Roman"/>
          <w:sz w:val="24"/>
          <w:szCs w:val="24"/>
          <w:vertAlign w:val="subscript"/>
          <w:lang w:val="ro-RO"/>
        </w:rPr>
        <w:t>2</w:t>
      </w:r>
      <w:r w:rsidRPr="00270D5B">
        <w:rPr>
          <w:rFonts w:ascii="Times New Roman" w:hAnsi="Times New Roman" w:cs="Times New Roman"/>
          <w:sz w:val="24"/>
          <w:szCs w:val="24"/>
          <w:lang w:val="ro-RO"/>
        </w:rPr>
        <w:t>-adrenergici şi afinitate moderată spre ridicată pentru unii receptori muscarinici. Inhibarea NET şi acţiunea parţial agonistă asupra receptorilor 5HT1A a norquetiapinei poate contribui la eficacitatea terapeutică a Keday XR ca antidepresiv.</w:t>
      </w:r>
    </w:p>
    <w:p w14:paraId="19333174" w14:textId="77777777" w:rsidR="00A56BF4" w:rsidRPr="00270D5B" w:rsidRDefault="00A56BF4" w:rsidP="002B222E">
      <w:pPr>
        <w:spacing w:after="0"/>
        <w:jc w:val="both"/>
        <w:rPr>
          <w:rFonts w:ascii="Times New Roman" w:hAnsi="Times New Roman" w:cs="Times New Roman"/>
          <w:i/>
          <w:iCs/>
          <w:sz w:val="24"/>
          <w:szCs w:val="24"/>
          <w:lang w:val="ro-RO"/>
        </w:rPr>
      </w:pPr>
    </w:p>
    <w:p w14:paraId="791690FA" w14:textId="77777777" w:rsidR="00A56BF4" w:rsidRPr="00270D5B" w:rsidRDefault="00A56BF4" w:rsidP="00A56BF4">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Efecte farmacodinamice:</w:t>
      </w:r>
    </w:p>
    <w:p w14:paraId="31C7C2FD" w14:textId="3D8074D0" w:rsidR="0017280C" w:rsidRPr="00270D5B" w:rsidRDefault="00A56BF4" w:rsidP="00A56BF4">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Quetiapina este activă în testele pentru activitatea antipsihotică, cum ar fi evitarea condiţionată. De asemenea, blochează acţiunea agoniştilor dopaminergici, ce poate fi măsurată atât comportamental cât şi electrofiziologic, creşte concentraţia metaboliţilor dopaminei, un index neurochimic al blocării receptorilor D</w:t>
      </w:r>
      <w:r w:rsidRPr="00270D5B">
        <w:rPr>
          <w:rFonts w:ascii="Times New Roman" w:hAnsi="Times New Roman" w:cs="Times New Roman"/>
          <w:sz w:val="24"/>
          <w:szCs w:val="24"/>
          <w:vertAlign w:val="subscript"/>
          <w:lang w:val="ro-RO"/>
        </w:rPr>
        <w:t>2</w:t>
      </w:r>
      <w:r w:rsidRPr="00270D5B">
        <w:rPr>
          <w:rFonts w:ascii="Times New Roman" w:hAnsi="Times New Roman" w:cs="Times New Roman"/>
          <w:sz w:val="24"/>
          <w:szCs w:val="24"/>
          <w:lang w:val="ro-RO"/>
        </w:rPr>
        <w:t>.</w:t>
      </w:r>
    </w:p>
    <w:p w14:paraId="1021327A" w14:textId="77777777" w:rsidR="00A56BF4" w:rsidRPr="00270D5B" w:rsidRDefault="00A56BF4" w:rsidP="002B222E">
      <w:pPr>
        <w:spacing w:after="0"/>
        <w:jc w:val="both"/>
        <w:rPr>
          <w:rFonts w:ascii="Times New Roman" w:hAnsi="Times New Roman" w:cs="Times New Roman"/>
          <w:sz w:val="24"/>
          <w:szCs w:val="24"/>
          <w:lang w:val="ro-RO"/>
        </w:rPr>
      </w:pPr>
    </w:p>
    <w:p w14:paraId="0B971308" w14:textId="70A9942E" w:rsidR="00A56BF4"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Rezultatele studiilor preclinice la animale, predictive pentru sindromul extrapiramidal (SEP), au arătat că quatiapina este diferită faţă de antipsihoticele tipice şi are un profil atipic. Quetiapina nu determină stimularea excesivă a receptorilor D</w:t>
      </w:r>
      <w:r w:rsidRPr="00270D5B">
        <w:rPr>
          <w:rFonts w:ascii="Times New Roman" w:hAnsi="Times New Roman" w:cs="Times New Roman"/>
          <w:sz w:val="24"/>
          <w:szCs w:val="24"/>
          <w:vertAlign w:val="subscript"/>
          <w:lang w:val="ro-RO"/>
        </w:rPr>
        <w:t>2</w:t>
      </w:r>
      <w:r w:rsidRPr="00270D5B">
        <w:rPr>
          <w:rFonts w:ascii="Times New Roman" w:hAnsi="Times New Roman" w:cs="Times New Roman"/>
          <w:sz w:val="24"/>
          <w:szCs w:val="24"/>
          <w:lang w:val="ro-RO"/>
        </w:rPr>
        <w:t>-dopaminergici după administrarea cronică. Quetiapina determină doar o uşoară catalepsie la doze care blochează eficace receptorul dopaminergic D</w:t>
      </w:r>
      <w:r w:rsidRPr="00270D5B">
        <w:rPr>
          <w:rFonts w:ascii="Times New Roman" w:hAnsi="Times New Roman" w:cs="Times New Roman"/>
          <w:sz w:val="24"/>
          <w:szCs w:val="24"/>
          <w:vertAlign w:val="subscript"/>
          <w:lang w:val="ro-RO"/>
        </w:rPr>
        <w:t>2</w:t>
      </w:r>
      <w:r w:rsidRPr="00270D5B">
        <w:rPr>
          <w:rFonts w:ascii="Times New Roman" w:hAnsi="Times New Roman" w:cs="Times New Roman"/>
          <w:sz w:val="24"/>
          <w:szCs w:val="24"/>
          <w:lang w:val="ro-RO"/>
        </w:rPr>
        <w:t>. Quetiapina acţionează selectiv la nivelul sistemului limbic, determinând blocarea depolarizării neuronilor mezolimbici, dar nu a neuronilor dopaminergici A9 de la nivel nigrostriat, după administrarea pe termen lung. Quetiapina prezintă un potenţial minim de apariţie a distoniei la maimuţele Cebus cu sensibilitate la haloperidol sau cărora nu li s-a administrat anterior medicamentul, după administrare pe termen scurt şi lung. (vezi pct. 4.8)</w:t>
      </w:r>
    </w:p>
    <w:p w14:paraId="4EA91D82" w14:textId="77777777" w:rsidR="00A56BF4" w:rsidRPr="00270D5B" w:rsidRDefault="00A56BF4" w:rsidP="002B222E">
      <w:pPr>
        <w:spacing w:after="0"/>
        <w:jc w:val="both"/>
        <w:rPr>
          <w:rFonts w:ascii="Times New Roman" w:hAnsi="Times New Roman" w:cs="Times New Roman"/>
          <w:sz w:val="24"/>
          <w:szCs w:val="24"/>
          <w:lang w:val="ro-RO"/>
        </w:rPr>
      </w:pPr>
    </w:p>
    <w:p w14:paraId="6DD20DDE" w14:textId="77777777" w:rsidR="009A7E39" w:rsidRPr="00270D5B" w:rsidRDefault="009A7E39" w:rsidP="009A7E39">
      <w:pPr>
        <w:spacing w:after="0"/>
        <w:jc w:val="both"/>
        <w:rPr>
          <w:rFonts w:ascii="Times New Roman" w:hAnsi="Times New Roman" w:cs="Times New Roman"/>
          <w:b/>
          <w:bCs/>
          <w:i/>
          <w:iCs/>
          <w:sz w:val="24"/>
          <w:szCs w:val="24"/>
          <w:lang w:val="ro-RO"/>
        </w:rPr>
      </w:pPr>
      <w:r w:rsidRPr="00270D5B">
        <w:rPr>
          <w:rFonts w:ascii="Times New Roman" w:hAnsi="Times New Roman" w:cs="Times New Roman"/>
          <w:b/>
          <w:bCs/>
          <w:i/>
          <w:iCs/>
          <w:sz w:val="24"/>
          <w:szCs w:val="24"/>
          <w:lang w:val="ro-RO"/>
        </w:rPr>
        <w:t xml:space="preserve">Eficacitate clinică: </w:t>
      </w:r>
    </w:p>
    <w:p w14:paraId="232FCF6E" w14:textId="439CB4D4"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 xml:space="preserve">Schizofrenie </w:t>
      </w:r>
    </w:p>
    <w:p w14:paraId="7C357D42" w14:textId="41F2B9DE"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Eficacitatea quetiapina în tratamentul schizofreniei a fost demonstrată într-un studiu de 6 săptămâni placebo-controlat la pacienţi care întruneau criteriile DSM-IV pentru schizofrenie şi într-un studiu activ-controlat, de trecere de la </w:t>
      </w:r>
      <w:r w:rsidR="00B055D9" w:rsidRPr="00270D5B">
        <w:rPr>
          <w:rFonts w:ascii="Times New Roman" w:hAnsi="Times New Roman" w:cs="Times New Roman"/>
          <w:sz w:val="24"/>
          <w:szCs w:val="24"/>
          <w:lang w:val="ro-RO"/>
        </w:rPr>
        <w:t xml:space="preserve">quetiapină </w:t>
      </w:r>
      <w:r w:rsidRPr="00270D5B">
        <w:rPr>
          <w:rFonts w:ascii="Times New Roman" w:hAnsi="Times New Roman" w:cs="Times New Roman"/>
          <w:sz w:val="24"/>
          <w:szCs w:val="24"/>
          <w:lang w:val="ro-RO"/>
        </w:rPr>
        <w:t xml:space="preserve">cu eliberare imediată la quetiapină la pacienţi cu schizofrenie trataţi în ambulatoriu, stabili din punct de vedere clinic. </w:t>
      </w:r>
    </w:p>
    <w:p w14:paraId="2B134610" w14:textId="47DB74C7"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Principala variabilă rezultată în studiul placebo-controlat a fost modificarea scorului total PANSS la evaluarea finală, faţă de valoarea sa iniţială la debutul studiului. Administrarea de quetiapină în doze de 400 mg pe zi, 600 mg pe zi şi 800 mg pe zi a fost asociată cu ameliorări semnificative din punct de vedere statistic ale simptomelor psihotice, comparativ cu placebo. Efectul a fost mai important în cazul administrării a 600 mg pe zi şi 800 mg pe zi, comparativ cu 400 mg pe zi. </w:t>
      </w:r>
    </w:p>
    <w:p w14:paraId="13D1136B" w14:textId="2F0E0A05" w:rsidR="0017280C"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de schimbare a medicaţiei de 6 săptămâni, controlat activ, principala variabilă rezultată a fost procentul pacienţilor la care medicamentul nu era eficace, de exemplu, care întrerupeau tratamentul din cauza lipsei eficacităţii sau al căror scor PANSS creştea cu 20% sau mai mult între vizite. În cazul pacienţilor stabili care urmau tratament cu quetiapină cu eliberare imediată cu concentraţia de 400 mg în doze de până la 800 mg, eficacitatea s-a menţinut şi după ce pacienţii au fost trecuţi pe tratament cu quetiapină într-o doză echivalentă, administrată însă o singură dată pe zi.</w:t>
      </w:r>
    </w:p>
    <w:p w14:paraId="2EA7A278" w14:textId="77777777" w:rsidR="00A56BF4" w:rsidRPr="00270D5B" w:rsidRDefault="00A56BF4" w:rsidP="002B222E">
      <w:pPr>
        <w:spacing w:after="0"/>
        <w:jc w:val="both"/>
        <w:rPr>
          <w:rFonts w:ascii="Times New Roman" w:hAnsi="Times New Roman" w:cs="Times New Roman"/>
          <w:sz w:val="24"/>
          <w:szCs w:val="24"/>
          <w:lang w:val="ro-RO"/>
        </w:rPr>
      </w:pPr>
    </w:p>
    <w:p w14:paraId="43A1F7DF" w14:textId="380F3AE5" w:rsidR="009A7E39" w:rsidRPr="00270D5B" w:rsidRDefault="009A7E39"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pe termen lung, la pacienţi schizofrenici stabilizaţi clinic care au urmat un tratament de întreţinere cu quetiapină timp de 16 săptămâni, s-a dovedit că quetiapină a fost mai eficace decât placebo în prevenirea recăderilor. Riscul estimat de recădere după 6 luni de tratament a fost de 14,3% pentru quetiapină, comparativ cu 68,2% pentru placebo. Doza medie a fost de 669 mg. Nu au existat reacţii adverse noi asociate tratamentului cu quetiapină timp de până la 9 luni (medie de 7 luni). În mod particular, s-au raportat reacţii adverse corelate cu SEP şi creşterea în greutate, dar acestea nu s-au accentuat cu prelungirea tratamentului cu quetiapină.</w:t>
      </w:r>
    </w:p>
    <w:p w14:paraId="4B0A484A" w14:textId="77777777" w:rsidR="00A56BF4" w:rsidRPr="00270D5B" w:rsidRDefault="00A56BF4" w:rsidP="002B222E">
      <w:pPr>
        <w:spacing w:after="0"/>
        <w:jc w:val="both"/>
        <w:rPr>
          <w:rFonts w:ascii="Times New Roman" w:hAnsi="Times New Roman" w:cs="Times New Roman"/>
          <w:sz w:val="24"/>
          <w:szCs w:val="24"/>
          <w:lang w:val="ro-RO"/>
        </w:rPr>
      </w:pPr>
    </w:p>
    <w:p w14:paraId="1504E16F" w14:textId="77777777" w:rsidR="009A7E39" w:rsidRPr="00270D5B" w:rsidRDefault="009A7E39" w:rsidP="009A7E39">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Tulburare afectivă bipolară</w:t>
      </w:r>
    </w:p>
    <w:p w14:paraId="77491E56" w14:textId="23CF5E45"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două studii cu quetiapină în monoterapie, quetiapină a demonstrat o eficacitate superioară faţă de placebo în tratamentul episoadelor de manie moderate până la severe prin reducerea simptomelor maniacale evaluată la 3 şi la 12 săptămâni. Eficacitatea quetiapină a fost demonstrată comparativ cu placebo într-un studiu diferit, cu durata de 3 săptămâni. Quetiapină s-a administrat în doze de 400 până la 800 mg pe zi, doza medie fiind de aproximativ 600 mg pe zi. Datele privitoare la administrarea quetiapinei în asociere cu valproat de sodiu sau litiu în episoadele moderat – severe de manie la 3 şi 6 săptămâni sunt limitate; cu toate acestea, terapia asociată a fost bine tolerată. Datele au evidenţiat un efect aditiv în săptămâna 3. Un al doilea studiu nu a evidenţiat un efect aditiv în săptămâna 6.</w:t>
      </w:r>
    </w:p>
    <w:p w14:paraId="4B1DC03A" w14:textId="0D5F7520"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clinic, la pacienţi cu episoade depresive din tulburarea afectivă bipolară tip I sau tip II, quetiapină XR în doză de 300 mg pe zi, a demonstrat eficacitate superioară faţă de placebo în scăderea scorului MADRS total.</w:t>
      </w:r>
    </w:p>
    <w:p w14:paraId="4F645BFE" w14:textId="67DC404C"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alte 4 studii clinice cu durată de 8 săptămâni, la pacienţi cu episoade depresive moderate până la severe în cadrul tulburării afective bipolară tip I sau II, </w:t>
      </w:r>
      <w:r w:rsidR="00B055D9"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300 mg şi 600 mg a fost </w:t>
      </w:r>
      <w:r w:rsidRPr="00270D5B">
        <w:rPr>
          <w:rFonts w:ascii="Times New Roman" w:hAnsi="Times New Roman" w:cs="Times New Roman"/>
          <w:sz w:val="24"/>
          <w:szCs w:val="24"/>
          <w:lang w:val="ro-RO"/>
        </w:rPr>
        <w:lastRenderedPageBreak/>
        <w:t>semnificativ superior faţă de placebo în: îmbunătăţirea medie a scorului MADRS total, răspunsul terapeutic definit ca îmbunătăţire cu minim 50% a MADRS total, în comparaţie cu scorul iniţial. Nu s-a înregistrat nicio diferenţă de mărime a efectului la pacienţii trataţi cu 300 mg quetiapină faţă de cei trataţi cu 600 mg.</w:t>
      </w:r>
    </w:p>
    <w:p w14:paraId="582A00D4" w14:textId="3B4381E5"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faza de continuare a două dintre aceste studii, a fost demonstrat faptul că tratamentul pe termen lung, la pacienţii ce au răspuns la quetiapină 300 mg sau 600 mg a fost eficace, în comparaţie cu placebo, în cazul simptomelor depresive, dar nu şi în cazul simptomelor maniacale.</w:t>
      </w:r>
    </w:p>
    <w:p w14:paraId="5E6EB1E3" w14:textId="77777777"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două studii de prevenire a recurenţei ce au evaluat quetiapina în asociere cu stabilizatorii de dispoziţie, la pacienţii cu episoade de manie, depresie sau episoade mixte, asocierea cu quetiapina a fost superioară monoterapiei cu stabilizatori ai dispoziţiei, în prelungirea timpului până la prima recădere a oricărui tip de episod (manie, mixt sau depresiv). Quetiapina a fost adminstrată de 2 ori pe zi, până la o doză totală de 400-800 mg, în asociere cu litiu sau valproat.</w:t>
      </w:r>
    </w:p>
    <w:p w14:paraId="57AB2861" w14:textId="0B220CC3"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randomizat cu durată de 6 săptămâni cu litiu şi quetiapină XR versus placebo şi quetiapină XR la pacienţi adulţi cu manie acută, diferenta în îmbunătăţirea medie a YMRS intre grupul tratat cu litiu şi quetiapină XR şi grupul tratat cu placebo şi quetiapină XR a fost de 2,8 puncte, iar rata de răspuns terapeutic (definit ca îmbunătăţirea cu 50% pe scala YMRS comparativ cu valoarea iniţială a fost de 11% (79% în grupul cu terapie asociată cu litiu versus 68% în grupul cu terapie asociată cu placebo).</w:t>
      </w:r>
    </w:p>
    <w:p w14:paraId="0308B134" w14:textId="5C39060D"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pe termen lung (cu durată de până la 2 ani de tratament) care a evaluat prevenirea recurenţei la pacienţi trataţi pentru un episod afectiv maniacal, depresiv sau mixt quetiapina a fost superioară faţă de placebo în ceea ce priveşte durata de timp până la apariţia unui nou eveniment de tulburare bipolară (maniacal, mixt sau depresiv) la pacienţii cu tulburare bipolară de tip I. Numărul de pacienţi cu un eveniment de tulburare bipolară a fost de 91 (22,5%) în grupul cu quetiapină, 208 (51,5%) în grupul cu placebo şi 95 (26,1%) în grupul cu litiu. La pacienţii care au răspuns la quetiapină, când s-a comparat continuarea tratamentului cu quetiapină cu trecerea la litiu, rezultatele au indicat faptul că o trecere la tratamentul cu litiu nu pare să se asocieze cu o creştere a duratei de timp până la recurenţa unui eveniment de tulburare bipolară.</w:t>
      </w:r>
    </w:p>
    <w:p w14:paraId="3B113EBE" w14:textId="77777777" w:rsidR="00A56BF4" w:rsidRPr="00270D5B" w:rsidRDefault="00A56BF4" w:rsidP="002B222E">
      <w:pPr>
        <w:spacing w:after="0"/>
        <w:jc w:val="both"/>
        <w:rPr>
          <w:rFonts w:ascii="Times New Roman" w:hAnsi="Times New Roman" w:cs="Times New Roman"/>
          <w:sz w:val="24"/>
          <w:szCs w:val="24"/>
          <w:lang w:val="ro-RO"/>
        </w:rPr>
      </w:pPr>
    </w:p>
    <w:p w14:paraId="2D636F84" w14:textId="77777777"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 xml:space="preserve">Episoade depresive majore în cadrul TDM </w:t>
      </w:r>
    </w:p>
    <w:p w14:paraId="5AB9E4AE" w14:textId="2E0F733E"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Două studii cu durată scurtă (6 săptămâni) au inclus pacienţi care au prezentat un răspuns inadecvat la cel puţin un antidepresiv. Administrarea </w:t>
      </w:r>
      <w:r w:rsidR="00A3024C" w:rsidRPr="00270D5B">
        <w:rPr>
          <w:rFonts w:ascii="Times New Roman" w:hAnsi="Times New Roman" w:cs="Times New Roman"/>
          <w:sz w:val="24"/>
          <w:szCs w:val="24"/>
          <w:lang w:val="ro-RO"/>
        </w:rPr>
        <w:t xml:space="preserve">quetiapină </w:t>
      </w:r>
      <w:r w:rsidRPr="00270D5B">
        <w:rPr>
          <w:rFonts w:ascii="Times New Roman" w:hAnsi="Times New Roman" w:cs="Times New Roman"/>
          <w:sz w:val="24"/>
          <w:szCs w:val="24"/>
          <w:lang w:val="ro-RO"/>
        </w:rPr>
        <w:t xml:space="preserve">XR 150 mg şi 300 mg/zi, ca terapie adjuvantă la un tratament curent cu un antidepresiv (amitriptilină, bupropion, citalopram, duloxetină, escitalopram, fluoxetină, paroxetină, sertralină sau venlafaxină) a demonstrat superioritate faţă de monoterapia cu antidepresiv în ceea ce priveşte ameliorarea simptomelor de depresie evaluată prin îmbunătăţirea scorului total MADRS (modificare medie a CMMP comparativ cu placebo de 2-3,3 puncte). </w:t>
      </w:r>
    </w:p>
    <w:p w14:paraId="2886DD3A" w14:textId="77777777"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Eficacitatea şi siguranţa tratamentului pe termen lung la pacienţii cu TDM nu au fost evaluate în cazul terapiei aadjuvante, însă acestea au fost evaluate la pacienţii adulţi trataţi cu monoterapie (vezi mai jos). </w:t>
      </w:r>
    </w:p>
    <w:p w14:paraId="58E1B0C4" w14:textId="7596FCC5"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Următoarele studii au fost efectuate cu </w:t>
      </w:r>
      <w:r w:rsidR="00A3024C"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XR administrat ca monoterapie; totuşi </w:t>
      </w:r>
      <w:r w:rsidR="00A3024C"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XR este indicat numai pentru utilizarea ca şi terapie adjuvantă: </w:t>
      </w:r>
    </w:p>
    <w:p w14:paraId="65473FF8" w14:textId="540EE711"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cadrul a trei din patru studii cu durată scurtă (de până la 8 săptămâni) cu monoterapie, la pacienţii cu tulburare depresivă majoră, </w:t>
      </w:r>
      <w:r w:rsidR="00A3024C" w:rsidRPr="00270D5B">
        <w:rPr>
          <w:rFonts w:ascii="Times New Roman" w:hAnsi="Times New Roman" w:cs="Times New Roman"/>
          <w:sz w:val="24"/>
          <w:szCs w:val="24"/>
          <w:lang w:val="ro-RO"/>
        </w:rPr>
        <w:t xml:space="preserve">quetiapină </w:t>
      </w:r>
      <w:r w:rsidRPr="00270D5B">
        <w:rPr>
          <w:rFonts w:ascii="Times New Roman" w:hAnsi="Times New Roman" w:cs="Times New Roman"/>
          <w:sz w:val="24"/>
          <w:szCs w:val="24"/>
          <w:lang w:val="ro-RO"/>
        </w:rPr>
        <w:t xml:space="preserve">XR 50 mg, 150 mg şi 300 mg/zi a demonstrat eficacitate </w:t>
      </w:r>
      <w:r w:rsidRPr="00270D5B">
        <w:rPr>
          <w:rFonts w:ascii="Times New Roman" w:hAnsi="Times New Roman" w:cs="Times New Roman"/>
          <w:sz w:val="24"/>
          <w:szCs w:val="24"/>
          <w:lang w:val="ro-RO"/>
        </w:rPr>
        <w:lastRenderedPageBreak/>
        <w:t xml:space="preserve">superioară faţă de placebo în ceea ce priveşte ameliorarea simptomelor de depresie, evaluată prin îmbunătăţirea scorului total MADRS (Scala de evaluare a depresiei Montgomery- Åsberg) (modificare medie a CMMP comparativ cu placebo de 2-4 puncte). </w:t>
      </w:r>
    </w:p>
    <w:p w14:paraId="796DF517" w14:textId="193B18C7"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cadrul unui studiu asupra prevenţiei recăderii efectuat cu monoterapie, pacienţii cu episoade depresive stabilizaţi cu tratament în regim deschis cu </w:t>
      </w:r>
      <w:r w:rsidR="00A3024C"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XR administrat timp de cel puţin 12 săptămâni au fost randomizaţi în grupul de tratament cu </w:t>
      </w:r>
      <w:r w:rsidR="00B055D9" w:rsidRPr="00270D5B">
        <w:rPr>
          <w:rFonts w:ascii="Times New Roman" w:hAnsi="Times New Roman" w:cs="Times New Roman"/>
          <w:sz w:val="24"/>
          <w:szCs w:val="24"/>
          <w:lang w:val="ro-RO"/>
        </w:rPr>
        <w:t xml:space="preserve">quetiapină </w:t>
      </w:r>
      <w:r w:rsidRPr="00270D5B">
        <w:rPr>
          <w:rFonts w:ascii="Times New Roman" w:hAnsi="Times New Roman" w:cs="Times New Roman"/>
          <w:sz w:val="24"/>
          <w:szCs w:val="24"/>
          <w:lang w:val="ro-RO"/>
        </w:rPr>
        <w:t xml:space="preserve">XR o dată pe zi, fie în grupul placebo timp de până la 52 de săptămâni. Doza medie de </w:t>
      </w:r>
      <w:r w:rsidR="00A3024C"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XR în timpul fazei randomizate a fost de 177 mg/zi. Incidenţa recăderii a fost de 14,2% la pacienţii trataţi cu </w:t>
      </w:r>
      <w:r w:rsidR="00A3024C"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XR şi de 34,4% la pacienţii din grupul placebo. </w:t>
      </w:r>
    </w:p>
    <w:p w14:paraId="0A60780F" w14:textId="536D538D" w:rsidR="009A7E39"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cadrul unui studiu de scurtă durată (9 săptămâni) efectuat la pacienţi vârstnici fără demenţă (cu vârsta cuprinsă între 66 şi 89 de ani) cu tulburare depresivă majoră, </w:t>
      </w:r>
      <w:r w:rsidR="00A3024C" w:rsidRPr="00270D5B">
        <w:rPr>
          <w:rFonts w:ascii="Times New Roman" w:hAnsi="Times New Roman" w:cs="Times New Roman"/>
          <w:sz w:val="24"/>
          <w:szCs w:val="24"/>
          <w:lang w:val="ro-RO"/>
        </w:rPr>
        <w:t xml:space="preserve">quetiapină </w:t>
      </w:r>
      <w:r w:rsidRPr="00270D5B">
        <w:rPr>
          <w:rFonts w:ascii="Times New Roman" w:hAnsi="Times New Roman" w:cs="Times New Roman"/>
          <w:sz w:val="24"/>
          <w:szCs w:val="24"/>
          <w:lang w:val="ro-RO"/>
        </w:rPr>
        <w:t xml:space="preserve">XR administrat în doză variabilă în intervalul 50 mg -300 mg/zi a demonstrat eficacitate superioară faţă de placebo în ceea ce priveşte ameliorarea simptomelor de depresie, evaluată prin îmbunătăţirea scorului total MADRS (modificare medie a CMMP comparativ cu placebo -7,54). În cadrul acestui studiu, pacienţilor repartizaţi randomizat în grupul de tratament cu </w:t>
      </w:r>
      <w:r w:rsidR="00A3024C"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XR li s-au administrat 50 mg/zi în zilele 1-3, doza a putut fi crescută la 100 mg/zi în ziua 4, 150 mg/zi în ziua 8 şi până la 300 mg/zi în funcţie de răspunsul clinic şi tolerabilitatea individuală. Doza medie de </w:t>
      </w:r>
      <w:r w:rsidR="00A3024C"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XR a fost de 160 mg/zi. Cu excepţia incidenţei simptomelor extrapiramidale (vezi pct. 4.8 şi „Siguranţa clinică” de mai jos), tolerabilitatea pacienţilor vârstnici la administrarea </w:t>
      </w:r>
      <w:r w:rsidR="00A3024C" w:rsidRPr="00270D5B">
        <w:rPr>
          <w:rFonts w:ascii="Times New Roman" w:hAnsi="Times New Roman" w:cs="Times New Roman"/>
          <w:sz w:val="24"/>
          <w:szCs w:val="24"/>
          <w:lang w:val="ro-RO"/>
        </w:rPr>
        <w:t xml:space="preserve">quetiapină </w:t>
      </w:r>
      <w:r w:rsidRPr="00270D5B">
        <w:rPr>
          <w:rFonts w:ascii="Times New Roman" w:hAnsi="Times New Roman" w:cs="Times New Roman"/>
          <w:sz w:val="24"/>
          <w:szCs w:val="24"/>
          <w:lang w:val="ro-RO"/>
        </w:rPr>
        <w:t xml:space="preserve">XR o dată pe zi a fost comparabilă cu cea observată la adulţi (cu vârste cuprinse între 18 şi 65 de ani). Procentul de pacienţi randomizaţi, cu vârsta peste 75 de ani a fost de 19%. </w:t>
      </w:r>
    </w:p>
    <w:p w14:paraId="570D0AEB" w14:textId="77777777" w:rsidR="00A3024C" w:rsidRPr="00270D5B" w:rsidRDefault="00A3024C" w:rsidP="009A7E39">
      <w:pPr>
        <w:spacing w:after="0"/>
        <w:jc w:val="both"/>
        <w:rPr>
          <w:rFonts w:ascii="Times New Roman" w:hAnsi="Times New Roman" w:cs="Times New Roman"/>
          <w:b/>
          <w:bCs/>
          <w:i/>
          <w:iCs/>
          <w:sz w:val="24"/>
          <w:szCs w:val="24"/>
          <w:lang w:val="ro-RO"/>
        </w:rPr>
      </w:pPr>
    </w:p>
    <w:p w14:paraId="256A95A0" w14:textId="4F6E5704" w:rsidR="00A3024C" w:rsidRPr="00270D5B" w:rsidRDefault="00A3024C" w:rsidP="009A7E39">
      <w:pPr>
        <w:spacing w:after="0"/>
        <w:jc w:val="both"/>
        <w:rPr>
          <w:rFonts w:ascii="Times New Roman" w:hAnsi="Times New Roman" w:cs="Times New Roman"/>
          <w:sz w:val="24"/>
          <w:szCs w:val="24"/>
          <w:lang w:val="ro-RO"/>
        </w:rPr>
      </w:pPr>
      <w:r w:rsidRPr="00270D5B">
        <w:rPr>
          <w:rFonts w:ascii="Times New Roman" w:hAnsi="Times New Roman" w:cs="Times New Roman"/>
          <w:b/>
          <w:bCs/>
          <w:i/>
          <w:iCs/>
          <w:sz w:val="24"/>
          <w:szCs w:val="24"/>
          <w:lang w:val="ro-RO"/>
        </w:rPr>
        <w:t>Siguranţa clinică</w:t>
      </w:r>
    </w:p>
    <w:p w14:paraId="761745B3" w14:textId="55FC45A4" w:rsidR="00A56BF4" w:rsidRPr="00270D5B" w:rsidRDefault="009A7E39" w:rsidP="009A7E39">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studiile clinice pe termen scurt, placebo-controlate, la pacienţi cu schizofrenie şi episoade maniacale din tulburarea afectivă bipolară, incidenţa totală a simptomelor extrapiramidale a fost similară cu cea obţinută în cazul administrării de placebo (schizofrenie: 7,8% pentru quetiapină şi 8% pentru placebo; episoade maniacale din tulburarea afectivă bipolară: 11,2% pentru quetiapină şi 11,4% pentru placebo). În studii clinice de scurtă durată, placebo controlate, efectuate la pacienţi cu TMD şi depresie bipolară, au fost observate incidenţe mai mari ale simptomelor extrapiramidale la pacienţii trataţi cu quetiapină, comparativ cu cei cărora li s-a administrat placebo. În studiile clinice pe termen scurt, placebo-controlate </w:t>
      </w:r>
      <w:r w:rsidR="00A3024C" w:rsidRPr="00270D5B">
        <w:rPr>
          <w:rFonts w:ascii="Times New Roman" w:hAnsi="Times New Roman" w:cs="Times New Roman"/>
          <w:sz w:val="24"/>
          <w:szCs w:val="24"/>
          <w:lang w:val="ro-RO"/>
        </w:rPr>
        <w:t>la pacienţi cu episoade depresive din tulburarea afectivă bipolară, incidenţa totală a simptomelor extrapiramidale a fost de 8,9% pentru quetiapină comparativ cu 3,8% pentru placebo. În studiile clinice de scurtă durată, controlate placebo, cu monoterapie, efectuate la pacienţi cu tulburare depresivă majoră, incidenţa cumulată a simptomelor extrapiramidale a fost de 5,4% în cazul quetiapină XR şi de 3,2% în cazul placebo. În cadrul unui studiu clinic de scurtă durată, controlat placebo, cu monoterapie, efectuat la pacienţi vârstnici cu tulburare depresivă majoră, incidenţa cumulată a simptomelor extrapiramidale a fost de 9,0% în cazul quetiapină XR şi 2,3% în cazul placebo. Atât în cazul depresiei bipolare, cât şi în cazul TDM incidenţa reacţiilor adverse individuale (de exemplu acatizie, tulburări extrapiramidale, tremor, diskinezie, distonie, nelinişte, contracţii musculare involuntare, hiperactivitate psihomotorie şi rigiditate musculară) nu a depăşit 4% în nici un grup de tratament.</w:t>
      </w:r>
    </w:p>
    <w:p w14:paraId="3A664B99" w14:textId="77777777" w:rsidR="009A7E39" w:rsidRPr="00270D5B" w:rsidRDefault="009A7E39" w:rsidP="002B222E">
      <w:pPr>
        <w:spacing w:after="0"/>
        <w:jc w:val="both"/>
        <w:rPr>
          <w:rFonts w:ascii="Times New Roman" w:hAnsi="Times New Roman" w:cs="Times New Roman"/>
          <w:sz w:val="24"/>
          <w:szCs w:val="24"/>
          <w:lang w:val="ro-RO"/>
        </w:rPr>
      </w:pPr>
    </w:p>
    <w:p w14:paraId="1839F2BB" w14:textId="6B55C68F" w:rsidR="009A7E39" w:rsidRPr="00270D5B" w:rsidRDefault="00A3024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În cadrul studiilor clinice de scurtă durată, placebo controlate (cu durata de la 3 până la 8 săptămâni), cu doză fixă (50 până la 800 mg pe zi), valoarea medie a creşterii în greutate la pacienţii trataţi cu quetiapină a variat între 0,8 kg în cazul dozei de 50 mg pe zi, şi 1,4 kg în cazul dozei zilnice de 600 mg (cu o creştere mai mică în cazul dozei zilnice de 800 mg), comparativ cu 0,2 kg în cazul pacienţilor cărora li s-a administrat placebo. Procentul pacienţilor trataţi cu quetiapină a căror greutate a crescut cu ≥ 7% a variat de la 5,3% pentru doza zilnică de 50 mg, până la 15,5% pentru doza zilnică de 400 mg (cu o creştere în greutate mai mică pentru dozele zilnice de 600 şi de 800 mg), comparativ cu 3,7% pentru pacienţii cărora li s-a administrat placebo.</w:t>
      </w:r>
    </w:p>
    <w:p w14:paraId="63CDFF0B" w14:textId="77777777" w:rsidR="009A7E39" w:rsidRPr="00270D5B" w:rsidRDefault="009A7E39" w:rsidP="002B222E">
      <w:pPr>
        <w:spacing w:after="0"/>
        <w:jc w:val="both"/>
        <w:rPr>
          <w:rFonts w:ascii="Times New Roman" w:hAnsi="Times New Roman" w:cs="Times New Roman"/>
          <w:sz w:val="24"/>
          <w:szCs w:val="24"/>
          <w:lang w:val="ro-RO"/>
        </w:rPr>
      </w:pPr>
    </w:p>
    <w:p w14:paraId="4BD66716" w14:textId="02B455E7" w:rsidR="009A7E39" w:rsidRPr="00270D5B" w:rsidRDefault="00A3024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Un studiu randomizat cu durată de 6 săptămâni care a comparat utilizarea asociată de litiu şi quetiapină XR cu administrarea de placebo şi quetiapină XR, efectuat la pacienţi adulţi cu manie acută, a arătat că asocierea quetiapină XR cu litiu determină mai multe reacţii adverse (63% comparative cu 48% în cazul administrării de quetiapină XR şi placebo). Rezultatele referitoare la siguranţă au arătat o incidenţă mai mare a simptomelor extrapiramidale, raportate la 16,8% dintre pacienţii din grupul cu terapie asociată cu litiu şi la 6,6% dintre pacienţii din grupul cu terapie asociată cu placebo, majoritatea constând în tremor, raportat la 15,6% dintre pacienţii din grupul cu terapie asociată cu litiu şi la 4,9% dintre pacienţii din grupul cu terapie asociată cu placebo. Incidenţa somnolenţei a fost mai mare în grupul cu terapie asociată quetiapină XR cu litiu (12,7%) comparativ cu grupul cu terapie asociată quetiapină XR cu placebo (5,5%). În plus, un procent mai mare de pacienţi trataţi în grupul cu terapie asociată cu litiu (8,0%) au prezentat creştere ponderală (≥7%) la sfârşitul tratamentului, comparativ cu pacienţii din grupul cu terapie asociată cu placebo (4,7%).</w:t>
      </w:r>
    </w:p>
    <w:p w14:paraId="05D2B712" w14:textId="77777777" w:rsidR="009A7E39" w:rsidRPr="00270D5B" w:rsidRDefault="009A7E39" w:rsidP="002B222E">
      <w:pPr>
        <w:spacing w:after="0"/>
        <w:jc w:val="both"/>
        <w:rPr>
          <w:rFonts w:ascii="Times New Roman" w:hAnsi="Times New Roman" w:cs="Times New Roman"/>
          <w:sz w:val="24"/>
          <w:szCs w:val="24"/>
          <w:lang w:val="ro-RO"/>
        </w:rPr>
      </w:pPr>
    </w:p>
    <w:p w14:paraId="1A7AA7AC" w14:textId="77777777" w:rsidR="00A3024C" w:rsidRPr="00270D5B" w:rsidRDefault="00A3024C" w:rsidP="00A3024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Studiile de lungă durată referitoare la prevenţia recăderii au avut o perioadă deschisă (de la 4 la 36 de săptămâni) pe durata căreia pacienţii au fost trataţi cu quetiapină, urmată de o perioadă randomizată pe durata căreia pacienţii au fost alocaţi în grupul de tratament cu quetiapină sau grupul cu administrare de placebo. În cazul pacienţilor randomizaţi în grupul de tratament cu quetiapină, creşterea în greutate medie pe durata perioadei deschise a fost de 2,56 kg şi, la săptămâna 48 a perioadei randomizate, creşterea în greutate medie a fost de 3,22 kg, comparativ cu valorile iniţiale din perioada deschisă. În cazul pacienţilor randomizaţi în grupul cu administrare de placebo, creşterea în greutate medie pe durata perioadei deschise a fost de 2,39 kg, iar la săptămâna 48 a perioadei randomizate, creşterea în greutate medie a fost de 0,89 kg, comparativ cu valorile iniţiale din perioada deschisă.</w:t>
      </w:r>
    </w:p>
    <w:p w14:paraId="064796F4" w14:textId="77777777" w:rsidR="00A3024C" w:rsidRPr="00270D5B" w:rsidRDefault="00A3024C" w:rsidP="00A3024C">
      <w:pPr>
        <w:spacing w:after="0"/>
        <w:jc w:val="both"/>
        <w:rPr>
          <w:rFonts w:ascii="Times New Roman" w:hAnsi="Times New Roman" w:cs="Times New Roman"/>
          <w:sz w:val="24"/>
          <w:szCs w:val="24"/>
          <w:lang w:val="ro-RO"/>
        </w:rPr>
      </w:pPr>
    </w:p>
    <w:p w14:paraId="6E7F31C5" w14:textId="77777777" w:rsidR="00A3024C" w:rsidRPr="00270D5B" w:rsidRDefault="00A3024C" w:rsidP="00A3024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studiile placebo-controlate efectuate la pacienţii vârstnici cu psihoze în cadrul demenţei, incidenţa evenimentelor cerebrovasculare la 100 pacienţi ani nu a fost mai mare decât la pacienţii trataţi cu quetiapină faţă de cei la care s-a administrat placebo.</w:t>
      </w:r>
    </w:p>
    <w:p w14:paraId="7D04E172" w14:textId="77777777" w:rsidR="00A3024C" w:rsidRPr="00270D5B" w:rsidRDefault="00A3024C" w:rsidP="00A3024C">
      <w:pPr>
        <w:spacing w:after="0"/>
        <w:jc w:val="both"/>
        <w:rPr>
          <w:rFonts w:ascii="Times New Roman" w:hAnsi="Times New Roman" w:cs="Times New Roman"/>
          <w:sz w:val="24"/>
          <w:szCs w:val="24"/>
          <w:lang w:val="ro-RO"/>
        </w:rPr>
      </w:pPr>
    </w:p>
    <w:p w14:paraId="2D4BF30C" w14:textId="2205516C" w:rsidR="00A3024C" w:rsidRPr="00270D5B" w:rsidRDefault="00A3024C" w:rsidP="00A3024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 toate studiile clinice de scurtă durată, placebo-controlate, cu monoterapie, efectuate la pacienţii cu număr de neutrofile la intrarea în studiu ≥ 1,5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/l, incidenţa de apariţie a cel puţin unei determinări de neutrofile &lt;1,5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/l a fost de 1,9% la pacienţii trataţi cu quetiapină faţă de 1,5% la pacienţii la care s-a administrat placebo. Incidenţa unui număr de neutrofile &gt;0,5-&lt;1,0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 xml:space="preserve">/l a fost aceeaşi (de 0,2%) la pacienţii trataţi cu quetiapină şi la pacienţii la care s-a administrat placebo. </w:t>
      </w:r>
      <w:r w:rsidRPr="00270D5B">
        <w:rPr>
          <w:rFonts w:ascii="Times New Roman" w:hAnsi="Times New Roman" w:cs="Times New Roman"/>
          <w:sz w:val="24"/>
          <w:szCs w:val="24"/>
          <w:lang w:val="ro-RO"/>
        </w:rPr>
        <w:lastRenderedPageBreak/>
        <w:t>În toate studiile clinice (placebo-controlate, deschise, cu comparator activ la pacienţii cu un număr de neutrofile ≥1,5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/l la intrarea în studiu), incidenţa de apariţie a cel puţin unei determinări de neutrofile &lt;1,5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/L a fost de 2,9% iar pentru valori de &lt;0,5 X 10</w:t>
      </w:r>
      <w:r w:rsidRPr="00270D5B">
        <w:rPr>
          <w:rFonts w:ascii="Times New Roman" w:hAnsi="Times New Roman" w:cs="Times New Roman"/>
          <w:sz w:val="24"/>
          <w:szCs w:val="24"/>
          <w:vertAlign w:val="superscript"/>
          <w:lang w:val="ro-RO"/>
        </w:rPr>
        <w:t>9</w:t>
      </w:r>
      <w:r w:rsidRPr="00270D5B">
        <w:rPr>
          <w:rFonts w:ascii="Times New Roman" w:hAnsi="Times New Roman" w:cs="Times New Roman"/>
          <w:sz w:val="24"/>
          <w:szCs w:val="24"/>
          <w:lang w:val="ro-RO"/>
        </w:rPr>
        <w:t>/l a fost de 0,21% la pacienţii trataţi cu quetiapină.</w:t>
      </w:r>
    </w:p>
    <w:p w14:paraId="54649A29" w14:textId="77777777" w:rsidR="00A3024C" w:rsidRPr="00270D5B" w:rsidRDefault="00A3024C" w:rsidP="00A3024C">
      <w:pPr>
        <w:spacing w:after="0"/>
        <w:jc w:val="both"/>
        <w:rPr>
          <w:rFonts w:ascii="Times New Roman" w:hAnsi="Times New Roman" w:cs="Times New Roman"/>
          <w:sz w:val="24"/>
          <w:szCs w:val="24"/>
          <w:lang w:val="ro-RO"/>
        </w:rPr>
      </w:pPr>
    </w:p>
    <w:p w14:paraId="20602479" w14:textId="7EF81C67" w:rsidR="00A3024C" w:rsidRPr="00270D5B" w:rsidRDefault="00A3024C" w:rsidP="00A3024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Tratamentul cu quetiapină a fost asociat cu scăderi ale concentraţiilor plasmatice ale hormonilor tiroidieni, dependente de doză. Incidenţa modificărilor TSH a fost de 3,2% pentru quetiapină, faţă de 2,7% pentru placebo. Incidenţa scăderilor reciproce potenţial semnificative clinic ale T</w:t>
      </w:r>
      <w:r w:rsidRPr="00270D5B">
        <w:rPr>
          <w:rFonts w:ascii="Times New Roman" w:hAnsi="Times New Roman" w:cs="Times New Roman"/>
          <w:sz w:val="24"/>
          <w:szCs w:val="24"/>
          <w:vertAlign w:val="subscript"/>
          <w:lang w:val="ro-RO"/>
        </w:rPr>
        <w:t>3</w:t>
      </w:r>
      <w:r w:rsidRPr="00270D5B">
        <w:rPr>
          <w:rFonts w:ascii="Times New Roman" w:hAnsi="Times New Roman" w:cs="Times New Roman"/>
          <w:sz w:val="24"/>
          <w:szCs w:val="24"/>
          <w:lang w:val="ro-RO"/>
        </w:rPr>
        <w:t xml:space="preserve"> sau T</w:t>
      </w:r>
      <w:r w:rsidRPr="00270D5B">
        <w:rPr>
          <w:rFonts w:ascii="Times New Roman" w:hAnsi="Times New Roman" w:cs="Times New Roman"/>
          <w:sz w:val="24"/>
          <w:szCs w:val="24"/>
          <w:vertAlign w:val="subscript"/>
          <w:lang w:val="ro-RO"/>
        </w:rPr>
        <w:t>4</w:t>
      </w:r>
      <w:r w:rsidRPr="00270D5B">
        <w:rPr>
          <w:rFonts w:ascii="Times New Roman" w:hAnsi="Times New Roman" w:cs="Times New Roman"/>
          <w:sz w:val="24"/>
          <w:szCs w:val="24"/>
          <w:lang w:val="ro-RO"/>
        </w:rPr>
        <w:t xml:space="preserve"> şi TSH în aceste studii clinice a fost foarte redusă, iar modificările observate ale concetraţiile plasmatice ale hormonilor tiroidieni nu au fost asociate cu hipotiroidism clinic simptomatic. Reducerea concentraţiilor plasmatice ale T</w:t>
      </w:r>
      <w:r w:rsidRPr="00270D5B">
        <w:rPr>
          <w:rFonts w:ascii="Times New Roman" w:hAnsi="Times New Roman" w:cs="Times New Roman"/>
          <w:sz w:val="24"/>
          <w:szCs w:val="24"/>
          <w:vertAlign w:val="subscript"/>
          <w:lang w:val="ro-RO"/>
        </w:rPr>
        <w:t xml:space="preserve">4 </w:t>
      </w:r>
      <w:r w:rsidRPr="00270D5B">
        <w:rPr>
          <w:rFonts w:ascii="Times New Roman" w:hAnsi="Times New Roman" w:cs="Times New Roman"/>
          <w:sz w:val="24"/>
          <w:szCs w:val="24"/>
          <w:lang w:val="ro-RO"/>
        </w:rPr>
        <w:t>total şi T</w:t>
      </w:r>
      <w:r w:rsidRPr="00270D5B">
        <w:rPr>
          <w:rFonts w:ascii="Times New Roman" w:hAnsi="Times New Roman" w:cs="Times New Roman"/>
          <w:sz w:val="24"/>
          <w:szCs w:val="24"/>
          <w:vertAlign w:val="subscript"/>
          <w:lang w:val="ro-RO"/>
        </w:rPr>
        <w:t>4</w:t>
      </w:r>
      <w:r w:rsidRPr="00270D5B">
        <w:rPr>
          <w:rFonts w:ascii="Times New Roman" w:hAnsi="Times New Roman" w:cs="Times New Roman"/>
          <w:sz w:val="24"/>
          <w:szCs w:val="24"/>
          <w:lang w:val="ro-RO"/>
        </w:rPr>
        <w:t xml:space="preserve"> liber a fost maximă în primele şase săptămâni ale tratamentului cu quetiapină, fără alte scăderi în timpul tratamentului de lungă durată. În 2/3 din toate cazurile, întreruperea tratamentului cu quetiapină a fost asociată cu reversibilitatea efectului asupra concentraţiilor plasmatice ale T</w:t>
      </w:r>
      <w:r w:rsidRPr="00270D5B">
        <w:rPr>
          <w:rFonts w:ascii="Times New Roman" w:hAnsi="Times New Roman" w:cs="Times New Roman"/>
          <w:sz w:val="24"/>
          <w:szCs w:val="24"/>
          <w:vertAlign w:val="subscript"/>
          <w:lang w:val="ro-RO"/>
        </w:rPr>
        <w:t>4</w:t>
      </w:r>
      <w:r w:rsidRPr="00270D5B">
        <w:rPr>
          <w:rFonts w:ascii="Times New Roman" w:hAnsi="Times New Roman" w:cs="Times New Roman"/>
          <w:sz w:val="24"/>
          <w:szCs w:val="24"/>
          <w:lang w:val="ro-RO"/>
        </w:rPr>
        <w:t xml:space="preserve"> total şi T</w:t>
      </w:r>
      <w:r w:rsidRPr="00270D5B">
        <w:rPr>
          <w:rFonts w:ascii="Times New Roman" w:hAnsi="Times New Roman" w:cs="Times New Roman"/>
          <w:sz w:val="24"/>
          <w:szCs w:val="24"/>
          <w:vertAlign w:val="subscript"/>
          <w:lang w:val="ro-RO"/>
        </w:rPr>
        <w:t>4</w:t>
      </w:r>
      <w:r w:rsidRPr="00270D5B">
        <w:rPr>
          <w:rFonts w:ascii="Times New Roman" w:hAnsi="Times New Roman" w:cs="Times New Roman"/>
          <w:sz w:val="24"/>
          <w:szCs w:val="24"/>
          <w:lang w:val="ro-RO"/>
        </w:rPr>
        <w:t xml:space="preserve"> liber indiferent de durata terapiei.</w:t>
      </w:r>
    </w:p>
    <w:p w14:paraId="63C3BA3B" w14:textId="77777777" w:rsidR="009A7E39" w:rsidRPr="00270D5B" w:rsidRDefault="009A7E39" w:rsidP="002B222E">
      <w:pPr>
        <w:spacing w:after="0"/>
        <w:jc w:val="both"/>
        <w:rPr>
          <w:rFonts w:ascii="Times New Roman" w:hAnsi="Times New Roman" w:cs="Times New Roman"/>
          <w:sz w:val="24"/>
          <w:szCs w:val="24"/>
          <w:lang w:val="ro-RO"/>
        </w:rPr>
      </w:pPr>
    </w:p>
    <w:p w14:paraId="5462F042" w14:textId="77777777" w:rsidR="00A3024C" w:rsidRPr="00270D5B" w:rsidRDefault="00A3024C" w:rsidP="00A3024C">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Cataractă/opacifiere a cristalinului</w:t>
      </w:r>
    </w:p>
    <w:p w14:paraId="4155115B" w14:textId="282A6BA6" w:rsidR="00A56BF4" w:rsidRPr="00270D5B" w:rsidRDefault="00A3024C" w:rsidP="00A3024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clinic destinat evaluării potenţialului cataractogen al quetiapină (200 – 800 mg pe zi) versus risperidonă (2-8 mg pe zi) efectuat la pacienţii cu schizofrenie sau tulburare schizoafectivă, procentul de pacienţi ce au prezentat creştere a gradului de opacifiere a cristalinului nu a fost mai mare în cazul quetiapină (4%), comparativ cu risperidona (10%) la pacienţii cu cel puţin 21 de luni de expunere.</w:t>
      </w:r>
    </w:p>
    <w:p w14:paraId="70417F80" w14:textId="77777777" w:rsidR="00A3024C" w:rsidRPr="00270D5B" w:rsidRDefault="00A3024C" w:rsidP="002B222E">
      <w:pPr>
        <w:spacing w:after="0"/>
        <w:jc w:val="both"/>
        <w:rPr>
          <w:rFonts w:ascii="Times New Roman" w:hAnsi="Times New Roman" w:cs="Times New Roman"/>
          <w:sz w:val="24"/>
          <w:szCs w:val="24"/>
          <w:lang w:val="ro-RO"/>
        </w:rPr>
      </w:pPr>
    </w:p>
    <w:p w14:paraId="7AF362AF" w14:textId="7FEA5AC2" w:rsidR="00A3024C" w:rsidRPr="00270D5B" w:rsidRDefault="00D82BAA"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Copii şi adolescenţi</w:t>
      </w:r>
    </w:p>
    <w:p w14:paraId="219FE7A0" w14:textId="77777777" w:rsidR="00A3024C" w:rsidRPr="00270D5B" w:rsidRDefault="00A3024C" w:rsidP="002B222E">
      <w:pPr>
        <w:spacing w:after="0"/>
        <w:jc w:val="both"/>
        <w:rPr>
          <w:rFonts w:ascii="Times New Roman" w:hAnsi="Times New Roman" w:cs="Times New Roman"/>
          <w:sz w:val="24"/>
          <w:szCs w:val="24"/>
          <w:lang w:val="ro-RO"/>
        </w:rPr>
      </w:pPr>
    </w:p>
    <w:p w14:paraId="0AB4131E" w14:textId="77777777" w:rsidR="00D82BAA" w:rsidRPr="00270D5B" w:rsidRDefault="00D82BAA" w:rsidP="00D82BAA">
      <w:pPr>
        <w:spacing w:after="0"/>
        <w:jc w:val="both"/>
        <w:rPr>
          <w:rFonts w:ascii="Times New Roman" w:hAnsi="Times New Roman" w:cs="Times New Roman"/>
          <w:b/>
          <w:bCs/>
          <w:sz w:val="24"/>
          <w:szCs w:val="24"/>
          <w:u w:val="single"/>
          <w:lang w:val="ro-RO"/>
        </w:rPr>
      </w:pPr>
      <w:r w:rsidRPr="00270D5B">
        <w:rPr>
          <w:rFonts w:ascii="Times New Roman" w:hAnsi="Times New Roman" w:cs="Times New Roman"/>
          <w:b/>
          <w:bCs/>
          <w:sz w:val="24"/>
          <w:szCs w:val="24"/>
          <w:u w:val="single"/>
          <w:lang w:val="ro-RO"/>
        </w:rPr>
        <w:t>Eficacitate clinică</w:t>
      </w:r>
    </w:p>
    <w:p w14:paraId="38D41FBE" w14:textId="4A9EA599" w:rsidR="00A3024C" w:rsidRPr="00270D5B" w:rsidRDefault="00D82BAA" w:rsidP="00D82BAA">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Eficacitatea şi siguranţa quetiapină au fost evaluate într-un studiu placebo-controlat, de 3 săptămâni pentru tratamentul maniei (n = 284 pacienţi din SUA cu vârsta cuprinsă între 10 şi 17 ani). Aproximativ 45% din populaţia de pacienţi a fost diagnosticată şi cu ADHD. În plus, a fost efectuat un studiu placebocontrolat de 6 săptămâni pentru tratamentul schizofreniei (n = 222 pacienţi cu vârsta cuprinsă între 13 şi 17 ani). Din ambele studii au fost excluşi pacienţii despre care se cunoştea că nu răspund la terapia cu quetiapină. Tratamentul cu quetiapină a fost iniţiat cu doza de 50 mg pe zi, iar în ziua a doua doza a fost crescută la 100 mg la zi; apoi doza a fost ajustată treptat până la o doză dorită (400-600 mg pe zi în manie şi 400-800 mg pe zi în schizofrenie), prin creşterea cu câte 100 mg pe zi, în două sau trei prize zilnice.</w:t>
      </w:r>
    </w:p>
    <w:p w14:paraId="76CBE572" w14:textId="77777777" w:rsidR="00A3024C" w:rsidRPr="00270D5B" w:rsidRDefault="00A3024C" w:rsidP="002B222E">
      <w:pPr>
        <w:spacing w:after="0"/>
        <w:jc w:val="both"/>
        <w:rPr>
          <w:rFonts w:ascii="Times New Roman" w:hAnsi="Times New Roman" w:cs="Times New Roman"/>
          <w:sz w:val="24"/>
          <w:szCs w:val="24"/>
          <w:lang w:val="ro-RO"/>
        </w:rPr>
      </w:pPr>
    </w:p>
    <w:p w14:paraId="04366556" w14:textId="2879FDED" w:rsidR="00D82BAA" w:rsidRPr="00270D5B" w:rsidRDefault="00D82BAA" w:rsidP="00D82BAA">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studiul efectuat la pacienţi cu manie, variaţia medie a scorului YMRS total la finalul studiului faţă de valorile iniţiale (tratament cu substanţă activă comparativ cu administrare de placebo) a fost de –5,21 pentru quetiapină 400 mg pe zi şi de –6,56 pentru quetiapină 600 mg pe zi. Rata de răspuns terapeutic (definit ca ameliorarea YMRS ≥ 50%) a fost de 64% pentru </w:t>
      </w:r>
      <w:r w:rsidR="00B055D9" w:rsidRPr="00270D5B">
        <w:rPr>
          <w:rFonts w:ascii="Times New Roman" w:hAnsi="Times New Roman" w:cs="Times New Roman"/>
          <w:sz w:val="24"/>
          <w:szCs w:val="24"/>
          <w:lang w:val="ro-RO"/>
        </w:rPr>
        <w:t>quetiapină</w:t>
      </w:r>
      <w:r w:rsidRPr="00270D5B">
        <w:rPr>
          <w:rFonts w:ascii="Times New Roman" w:hAnsi="Times New Roman" w:cs="Times New Roman"/>
          <w:sz w:val="24"/>
          <w:szCs w:val="24"/>
          <w:lang w:val="ro-RO"/>
        </w:rPr>
        <w:t xml:space="preserve"> 400 mg pe zi, de 58% pentru 600 mg pe zi şi de 37% în grupul la care s-a administrat placebo. </w:t>
      </w:r>
    </w:p>
    <w:p w14:paraId="7BF26000" w14:textId="77777777" w:rsidR="00D82BAA" w:rsidRPr="00270D5B" w:rsidRDefault="00D82BAA" w:rsidP="00D82BAA">
      <w:pPr>
        <w:spacing w:after="0"/>
        <w:jc w:val="both"/>
        <w:rPr>
          <w:rFonts w:ascii="Times New Roman" w:hAnsi="Times New Roman" w:cs="Times New Roman"/>
          <w:sz w:val="24"/>
          <w:szCs w:val="24"/>
          <w:lang w:val="ro-RO"/>
        </w:rPr>
      </w:pPr>
    </w:p>
    <w:p w14:paraId="14AA7079" w14:textId="5054A087" w:rsidR="00D82BAA" w:rsidRPr="00270D5B" w:rsidRDefault="00D82BAA" w:rsidP="00D82BAA">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Într-un studiu efectuat la pacienţi cu schizofrenie, variaţia medie a scorului PANSS total la finalul studiului faţa de valorile iniţiale (tratament cu substanţă activă comparativ cu administrare de </w:t>
      </w:r>
      <w:r w:rsidRPr="00270D5B">
        <w:rPr>
          <w:rFonts w:ascii="Times New Roman" w:hAnsi="Times New Roman" w:cs="Times New Roman"/>
          <w:sz w:val="24"/>
          <w:szCs w:val="24"/>
          <w:lang w:val="ro-RO"/>
        </w:rPr>
        <w:lastRenderedPageBreak/>
        <w:t>placebo) a fost de –8,16 pentru quetiapină 400 mg pe zi şi de –</w:t>
      </w:r>
      <w:r w:rsidR="00DF4666">
        <w:rPr>
          <w:rFonts w:ascii="Times New Roman" w:hAnsi="Times New Roman" w:cs="Times New Roman"/>
          <w:sz w:val="24"/>
          <w:szCs w:val="24"/>
          <w:lang w:val="ro-RO"/>
        </w:rPr>
        <w:t xml:space="preserve"> </w:t>
      </w:r>
      <w:r w:rsidRPr="00270D5B">
        <w:rPr>
          <w:rFonts w:ascii="Times New Roman" w:hAnsi="Times New Roman" w:cs="Times New Roman"/>
          <w:sz w:val="24"/>
          <w:szCs w:val="24"/>
          <w:lang w:val="ro-RO"/>
        </w:rPr>
        <w:t>9,29 pentru quetiapină 800 mg pe zi. Nici schema terapeutică cu quetiapină utilizată în doză mică (400 mg pe zi), nici cea cu doză mare (800 mg pe zi) nu au fost superioare faţă de administrarea de placebo în ceea ce priveşte procentul de pacienţi care au obţinut un răspuns, definit drept o reducere ≥ 30% din valoarea de la debut a scorului total PANSS. Atât în manie, cât şi în schizofrenie, dozele mai mari au determinat rate de răspuns mai reduse.</w:t>
      </w:r>
    </w:p>
    <w:p w14:paraId="02A5B3DF" w14:textId="77777777" w:rsidR="00D82BAA" w:rsidRPr="00270D5B" w:rsidRDefault="00D82BAA" w:rsidP="002B222E">
      <w:pPr>
        <w:spacing w:after="0"/>
        <w:jc w:val="both"/>
        <w:rPr>
          <w:rFonts w:ascii="Times New Roman" w:hAnsi="Times New Roman" w:cs="Times New Roman"/>
          <w:sz w:val="24"/>
          <w:szCs w:val="24"/>
          <w:lang w:val="ro-RO"/>
        </w:rPr>
      </w:pPr>
    </w:p>
    <w:p w14:paraId="2AFA5B50" w14:textId="610425F0" w:rsidR="00D82BAA" w:rsidRPr="00270D5B" w:rsidRDefault="00D82BAA" w:rsidP="00D82BAA">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al treilea studiu pe termen scurt, placebo-controlat, în cadrul căruia s-a utilizat monoterapie cu quetiapină XR, la pacienţii copii şi adolescenţi (10 - 17 ani) cu depresie bipolară, eficacitatea nu a fost demonstrată.</w:t>
      </w:r>
    </w:p>
    <w:p w14:paraId="53F64FE9" w14:textId="77777777" w:rsidR="00D82BAA" w:rsidRPr="00270D5B" w:rsidRDefault="00D82BAA" w:rsidP="00D82BAA">
      <w:pPr>
        <w:spacing w:after="0"/>
        <w:jc w:val="both"/>
        <w:rPr>
          <w:rFonts w:ascii="Times New Roman" w:hAnsi="Times New Roman" w:cs="Times New Roman"/>
          <w:sz w:val="24"/>
          <w:szCs w:val="24"/>
          <w:lang w:val="ro-RO"/>
        </w:rPr>
      </w:pPr>
    </w:p>
    <w:p w14:paraId="5E41B649" w14:textId="150DCDEE" w:rsidR="00D82BAA" w:rsidRPr="00270D5B" w:rsidRDefault="00D82BAA" w:rsidP="00D82BAA">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Nu sunt disponibile date referitoare la tratamentul de întreţinere sau de prevenire a recurenţelor la acest grup de vârstă.</w:t>
      </w:r>
    </w:p>
    <w:p w14:paraId="4997DDF4" w14:textId="77777777" w:rsidR="00D82BAA" w:rsidRPr="00270D5B" w:rsidRDefault="00D82BAA" w:rsidP="002B222E">
      <w:pPr>
        <w:spacing w:after="0"/>
        <w:jc w:val="both"/>
        <w:rPr>
          <w:rFonts w:ascii="Times New Roman" w:hAnsi="Times New Roman" w:cs="Times New Roman"/>
          <w:sz w:val="24"/>
          <w:szCs w:val="24"/>
          <w:lang w:val="ro-RO"/>
        </w:rPr>
      </w:pPr>
    </w:p>
    <w:p w14:paraId="5B87FD23" w14:textId="77777777" w:rsidR="00D82BAA" w:rsidRPr="00270D5B" w:rsidRDefault="00D82BAA" w:rsidP="002B222E">
      <w:pPr>
        <w:spacing w:after="0"/>
        <w:jc w:val="both"/>
        <w:rPr>
          <w:rFonts w:ascii="Times New Roman" w:hAnsi="Times New Roman" w:cs="Times New Roman"/>
          <w:b/>
          <w:bCs/>
          <w:sz w:val="24"/>
          <w:szCs w:val="24"/>
          <w:u w:val="single"/>
          <w:lang w:val="ro-RO"/>
        </w:rPr>
      </w:pPr>
      <w:r w:rsidRPr="00270D5B">
        <w:rPr>
          <w:rFonts w:ascii="Times New Roman" w:hAnsi="Times New Roman" w:cs="Times New Roman"/>
          <w:b/>
          <w:bCs/>
          <w:sz w:val="24"/>
          <w:szCs w:val="24"/>
          <w:u w:val="single"/>
          <w:lang w:val="ro-RO"/>
        </w:rPr>
        <w:t xml:space="preserve">Eficacitate clinică </w:t>
      </w:r>
    </w:p>
    <w:p w14:paraId="1DF7678B" w14:textId="3C1DBA7C" w:rsidR="00D82BAA" w:rsidRPr="00270D5B" w:rsidRDefault="00D82BAA"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La copii şi adolescenţi, în studiile cu quetiapină pe termen scurt, descrise mai sus, procentul SEP în braţul de tratament cu substanţă activă comparativ cu grupul la care s-a administrat placebo a fost de 12,9% comparativ cu 5,3% în studiul efectuat la pacienţii cu schizofrenie, de 3,6% comparativ cu 1,1% în studiul efectuat la pacienţii cu manie bipolară şi de 1,1% comparative cu 0% în studiul efectuat la pacienţii cu depresie bipolară. Rata creşterii în greutate ≥ 7% faţă de valorile iniţiale în braţul de tratament cu substanţă activă comparativ cu grupul la care s-a administrat placebo a fost de 17% comparativ cu 2,5% în studiul efectuat la pacienţi cu schizofrenie şi manie bipolară, şi de 12,5% comparativ cu 6% în studiul efectuat la pacienţii cu depresie bipolară. Incidenţa evenimentelor asociate suicidului în de tratament cu substanţă activă comparativ cu grupul la care s-a administrat placebo a fost de 1,4% comparativ cu 1,3% în studiul efectuat la pacienţii cu schizofrenie, de 1,0% comparativ cu 0% în studiul efectuat la pacienţii cu manie bipolară şi de 1,1% comparativ cu 0% în studiul efectuat la pacienţii cu depresie bipolară. În timpul fazei extinse de monitorizare post-tratament a studiului la pacienţii cu depresie bipolară, au apărut două evenimente asociate suicidului la doi pacienţi; unul dintre pacienţi urma tratament cu quetiapină la producerea evenimentului.</w:t>
      </w:r>
    </w:p>
    <w:p w14:paraId="7AF0E6E1" w14:textId="77777777" w:rsidR="00D82BAA" w:rsidRPr="00270D5B" w:rsidRDefault="00D82BAA" w:rsidP="002B222E">
      <w:pPr>
        <w:spacing w:after="0"/>
        <w:jc w:val="both"/>
        <w:rPr>
          <w:rFonts w:ascii="Times New Roman" w:hAnsi="Times New Roman" w:cs="Times New Roman"/>
          <w:sz w:val="24"/>
          <w:szCs w:val="24"/>
          <w:lang w:val="ro-RO"/>
        </w:rPr>
      </w:pPr>
    </w:p>
    <w:p w14:paraId="36370FDA" w14:textId="77777777" w:rsidR="00B477CD" w:rsidRPr="00270D5B" w:rsidRDefault="00B477CD" w:rsidP="00B477CD">
      <w:pPr>
        <w:spacing w:after="0"/>
        <w:jc w:val="both"/>
        <w:rPr>
          <w:rFonts w:ascii="Times New Roman" w:hAnsi="Times New Roman" w:cs="Times New Roman"/>
          <w:b/>
          <w:bCs/>
          <w:sz w:val="24"/>
          <w:szCs w:val="24"/>
          <w:u w:val="single"/>
          <w:lang w:val="ro-RO"/>
        </w:rPr>
      </w:pPr>
      <w:r w:rsidRPr="00270D5B">
        <w:rPr>
          <w:rFonts w:ascii="Times New Roman" w:hAnsi="Times New Roman" w:cs="Times New Roman"/>
          <w:b/>
          <w:bCs/>
          <w:sz w:val="24"/>
          <w:szCs w:val="24"/>
          <w:u w:val="single"/>
          <w:lang w:val="ro-RO"/>
        </w:rPr>
        <w:t>Siguranţa pe termen lung</w:t>
      </w:r>
    </w:p>
    <w:p w14:paraId="23EB4B38" w14:textId="2E7F245D"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Un studiu deschis, cu durata de 26 săptămâni, extensie a studiilor pe termen scurt (n = 380 pacienţi), cu quetiapină în doze variabile cuprinse între 400 şi 800 mg pe zi, a oferit date de siguranţă suplimentare.</w:t>
      </w:r>
    </w:p>
    <w:p w14:paraId="5E265B8F" w14:textId="57DEEDB9"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Creşterea tensiunii arteriale a fost raportată la copii şi adolescenţi în timp ce creşterea apetitului alimentar, simptomele extrapiramidale şi creşterea prolactinei serice, au fost raportate cu o frecvenţă mai mare la copii şi adolescenţi faţă de adulţi (vezi pct. 4.4 şi 4.8). În legătură cu creşterea în greutate, după efectuarea ajustării variaţiilor greutăţii cu ritmul normal de creştere pe termen lung s-a considerat că variaţia greutăţii cu cel puţin 0,5 deviaţie standard faţă de valoarea iniţială a IMC (indicelui de masă corporală) reprezintă o creştere semnificativă clinic a greutăţii; 18,3% din pacienţii trataţi cu quetiapină au întrunit acest criteriu după cel puţin 26 săptămâni de tratament.</w:t>
      </w:r>
    </w:p>
    <w:p w14:paraId="120DB31E" w14:textId="77777777" w:rsidR="00A3024C" w:rsidRPr="00270D5B" w:rsidRDefault="00A3024C" w:rsidP="002B222E">
      <w:pPr>
        <w:spacing w:after="0"/>
        <w:jc w:val="both"/>
        <w:rPr>
          <w:rFonts w:ascii="Times New Roman" w:hAnsi="Times New Roman" w:cs="Times New Roman"/>
          <w:sz w:val="24"/>
          <w:szCs w:val="24"/>
          <w:lang w:val="ro-RO"/>
        </w:rPr>
      </w:pPr>
    </w:p>
    <w:p w14:paraId="7FA8ACF8"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lastRenderedPageBreak/>
        <w:t>5.2 Proprietăţi farmacocinetice</w:t>
      </w:r>
    </w:p>
    <w:p w14:paraId="10F72CA7" w14:textId="77777777" w:rsidR="00B477CD" w:rsidRPr="00270D5B" w:rsidRDefault="00B477CD" w:rsidP="00B477CD">
      <w:pPr>
        <w:spacing w:after="0"/>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Absorbţie</w:t>
      </w:r>
    </w:p>
    <w:p w14:paraId="69DB2B5A" w14:textId="4B93890D"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Quetiapina are o absorbţie bună după administrarea orală. Quetiapina XR atinge concentraţiile plasmatice maxime pentru quetiapină şi norquetiapină la aproximativ 6 ore după administrare (Tmax). Valoarea maximă a concentraţiei molare la starea de echilibru a metabolitului activ norquetiapina este de 35% din cea a quetiapinei.</w:t>
      </w:r>
    </w:p>
    <w:p w14:paraId="640BA40C" w14:textId="77777777" w:rsidR="00B477CD" w:rsidRPr="00270D5B" w:rsidRDefault="00B477CD" w:rsidP="00B477CD">
      <w:pPr>
        <w:spacing w:after="0"/>
        <w:jc w:val="both"/>
        <w:rPr>
          <w:rFonts w:ascii="Times New Roman" w:hAnsi="Times New Roman" w:cs="Times New Roman"/>
          <w:sz w:val="24"/>
          <w:szCs w:val="24"/>
          <w:lang w:val="ro-RO"/>
        </w:rPr>
      </w:pPr>
    </w:p>
    <w:p w14:paraId="35837B88" w14:textId="58244EED" w:rsidR="00BC153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Farmacocinetica quetiapinei şi norquetiapinei sunt liniare pentru doze până la 800 mg pe zi. În cazul în care quetiapina XR este administrat o dată pe zi şi comparat cu aceeaşi doză de quetiapină fumarat formă cu eliberare imediată (quetiapina IR) administrat două prize zilnice, aria de sub curbă (ASC) este echivalentă, dar concentraţia plasmatică maximă (Cmax) este cu 13% mai mică la echilibru. Când quetiapina XR este comparat cu quetiapina IR, ASC a metabolitului norquetiapină este cu 18% mai mică. Într-un studiu ce a evaluat efectele alimentelor asupra biodisponibilităţii quetiapinei, o masă hiperlipidică s-a arătat că determină o creştere semnificativă a Cmax şi ASC pentru quetiapina XR, de apoximativ 50% respectiv 20%. Nu se poate exclude faptul că efectul meselor hiperlipidice asupra quetiapinei din quetiapina XR poate fi şi mai mare. În schimb, mesele uşoare nu au un efect semnificativ asupra Cmax sau ASC al quetiapinei. Se recomandă ca quetiapina XR să se administreze o dată pe zi, fără alimente.</w:t>
      </w:r>
    </w:p>
    <w:p w14:paraId="655CD17E" w14:textId="77777777" w:rsidR="00B477CD" w:rsidRPr="00270D5B" w:rsidRDefault="00B477CD" w:rsidP="002B222E">
      <w:pPr>
        <w:spacing w:after="0"/>
        <w:jc w:val="both"/>
        <w:rPr>
          <w:rFonts w:ascii="Times New Roman" w:hAnsi="Times New Roman" w:cs="Times New Roman"/>
          <w:sz w:val="24"/>
          <w:szCs w:val="24"/>
          <w:lang w:val="ro-RO"/>
        </w:rPr>
      </w:pPr>
    </w:p>
    <w:p w14:paraId="57F4BDF5" w14:textId="77777777"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i/>
          <w:iCs/>
          <w:sz w:val="24"/>
          <w:szCs w:val="24"/>
          <w:lang w:val="ro-RO"/>
        </w:rPr>
        <w:t>Distribuţie</w:t>
      </w:r>
      <w:r w:rsidRPr="00270D5B">
        <w:rPr>
          <w:rFonts w:ascii="Times New Roman" w:hAnsi="Times New Roman" w:cs="Times New Roman"/>
          <w:sz w:val="24"/>
          <w:szCs w:val="24"/>
          <w:lang w:val="ro-RO"/>
        </w:rPr>
        <w:t xml:space="preserve"> </w:t>
      </w:r>
    </w:p>
    <w:p w14:paraId="5F2DC4AF" w14:textId="42C3432C"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Quetiapina se leagă în proporţie de 83% de proteinele plasmatice. </w:t>
      </w:r>
    </w:p>
    <w:p w14:paraId="76BF2B74" w14:textId="77777777" w:rsidR="00B477CD" w:rsidRPr="00270D5B" w:rsidRDefault="00B477CD" w:rsidP="00B477CD">
      <w:pPr>
        <w:spacing w:after="0"/>
        <w:jc w:val="both"/>
        <w:rPr>
          <w:rFonts w:ascii="Times New Roman" w:hAnsi="Times New Roman" w:cs="Times New Roman"/>
          <w:sz w:val="24"/>
          <w:szCs w:val="24"/>
          <w:lang w:val="ro-RO"/>
        </w:rPr>
      </w:pPr>
    </w:p>
    <w:p w14:paraId="3D0BE5BD" w14:textId="77777777" w:rsidR="00B477CD" w:rsidRPr="00270D5B" w:rsidRDefault="00B477CD" w:rsidP="00B477CD">
      <w:pPr>
        <w:spacing w:after="0"/>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 xml:space="preserve">Metabolizare </w:t>
      </w:r>
    </w:p>
    <w:p w14:paraId="79DF4802" w14:textId="3328BDF3"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Quetiapina se metabolizează în cantitate mare la nivel hepatic, mai puţin de 5% din doză se excretă în formă nemodificată în urină sau materiile fecale, demonstrată prin administrarea de quetiapină marcată radioactiv. </w:t>
      </w:r>
    </w:p>
    <w:p w14:paraId="0231E367" w14:textId="77777777" w:rsidR="00B477CD" w:rsidRPr="00270D5B" w:rsidRDefault="00B477CD" w:rsidP="00B477CD">
      <w:pPr>
        <w:spacing w:after="0"/>
        <w:jc w:val="both"/>
        <w:rPr>
          <w:rFonts w:ascii="Times New Roman" w:hAnsi="Times New Roman" w:cs="Times New Roman"/>
          <w:sz w:val="24"/>
          <w:szCs w:val="24"/>
          <w:lang w:val="ro-RO"/>
        </w:rPr>
      </w:pPr>
    </w:p>
    <w:p w14:paraId="05DA7E26" w14:textId="77777777"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Investigaţiile </w:t>
      </w:r>
      <w:r w:rsidRPr="00270D5B">
        <w:rPr>
          <w:rFonts w:ascii="Times New Roman" w:hAnsi="Times New Roman" w:cs="Times New Roman"/>
          <w:i/>
          <w:iCs/>
          <w:sz w:val="24"/>
          <w:szCs w:val="24"/>
          <w:lang w:val="ro-RO"/>
        </w:rPr>
        <w:t xml:space="preserve">in vitro </w:t>
      </w:r>
      <w:r w:rsidRPr="00270D5B">
        <w:rPr>
          <w:rFonts w:ascii="Times New Roman" w:hAnsi="Times New Roman" w:cs="Times New Roman"/>
          <w:sz w:val="24"/>
          <w:szCs w:val="24"/>
          <w:lang w:val="ro-RO"/>
        </w:rPr>
        <w:t xml:space="preserve">au stabilit că CYP 3A4 este principala enzimă responsabilă pentru metabolizarea quetiapinei mediată de citocromul P450. Norquetiapina se formează şi se elimină în principal prin intervenţia CYP3A4. </w:t>
      </w:r>
    </w:p>
    <w:p w14:paraId="238B212A" w14:textId="77777777" w:rsidR="00B477CD" w:rsidRPr="00270D5B" w:rsidRDefault="00B477CD" w:rsidP="00B477CD">
      <w:pPr>
        <w:spacing w:after="0"/>
        <w:jc w:val="both"/>
        <w:rPr>
          <w:rFonts w:ascii="Times New Roman" w:hAnsi="Times New Roman" w:cs="Times New Roman"/>
          <w:sz w:val="24"/>
          <w:szCs w:val="24"/>
          <w:lang w:val="ro-RO"/>
        </w:rPr>
      </w:pPr>
    </w:p>
    <w:p w14:paraId="2A263061" w14:textId="77777777"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Quetiapina şi mai mulţi dintre metaboliţii săi (inclusiv norquetiapina) s-au dovedit a fi inhibitori slabi ai activităţii </w:t>
      </w:r>
      <w:r w:rsidRPr="00270D5B">
        <w:rPr>
          <w:rFonts w:ascii="Times New Roman" w:hAnsi="Times New Roman" w:cs="Times New Roman"/>
          <w:i/>
          <w:iCs/>
          <w:sz w:val="24"/>
          <w:szCs w:val="24"/>
          <w:lang w:val="ro-RO"/>
        </w:rPr>
        <w:t xml:space="preserve">in vitro </w:t>
      </w:r>
      <w:r w:rsidRPr="00270D5B">
        <w:rPr>
          <w:rFonts w:ascii="Times New Roman" w:hAnsi="Times New Roman" w:cs="Times New Roman"/>
          <w:sz w:val="24"/>
          <w:szCs w:val="24"/>
          <w:lang w:val="ro-RO"/>
        </w:rPr>
        <w:t xml:space="preserve">a izoenzimelor 1A2, 2C9, 2C19, 2D6 şi 3A4 ale citocromului P450. Inhibarea </w:t>
      </w:r>
      <w:r w:rsidRPr="00270D5B">
        <w:rPr>
          <w:rFonts w:ascii="Times New Roman" w:hAnsi="Times New Roman" w:cs="Times New Roman"/>
          <w:i/>
          <w:iCs/>
          <w:sz w:val="24"/>
          <w:szCs w:val="24"/>
          <w:lang w:val="ro-RO"/>
        </w:rPr>
        <w:t xml:space="preserve">in vitro </w:t>
      </w:r>
      <w:r w:rsidRPr="00270D5B">
        <w:rPr>
          <w:rFonts w:ascii="Times New Roman" w:hAnsi="Times New Roman" w:cs="Times New Roman"/>
          <w:sz w:val="24"/>
          <w:szCs w:val="24"/>
          <w:lang w:val="ro-RO"/>
        </w:rPr>
        <w:t xml:space="preserve">a citocromului P450 se observă doar la concentraţii de aproximativ 5 până la 50 ori mai mari decât cele observate în urma administrării unor doze terapeutice între 300 şi 800 mg pe zi la oameni. Pe baza acestor rezultate </w:t>
      </w:r>
      <w:r w:rsidRPr="00270D5B">
        <w:rPr>
          <w:rFonts w:ascii="Times New Roman" w:hAnsi="Times New Roman" w:cs="Times New Roman"/>
          <w:i/>
          <w:iCs/>
          <w:sz w:val="24"/>
          <w:szCs w:val="24"/>
          <w:lang w:val="ro-RO"/>
        </w:rPr>
        <w:t>in vitro</w:t>
      </w:r>
      <w:r w:rsidRPr="00270D5B">
        <w:rPr>
          <w:rFonts w:ascii="Times New Roman" w:hAnsi="Times New Roman" w:cs="Times New Roman"/>
          <w:sz w:val="24"/>
          <w:szCs w:val="24"/>
          <w:lang w:val="ro-RO"/>
        </w:rPr>
        <w:t xml:space="preserve">, este puţin probabil că în urma administrării quetiapinei concomitent cu alte medicamente să rezulte o inhibare semnificativă din punct de vedere clinic a citocromului P450, care să afecteze metabolizarea celuilalt medicament. În urma studiilor efectuate la animale, se pare că quetiapina poate induce enzimele citocromului P450. Într-un studiu de interacţiune specifică, efectuat la pacienţi psihotici, nu s-a înregistrat, însă, nicio creştere a activităţii citocromului P450 după administrarea de quetiapină. </w:t>
      </w:r>
    </w:p>
    <w:p w14:paraId="0C6F3548" w14:textId="77777777" w:rsidR="00B477CD" w:rsidRPr="00270D5B" w:rsidRDefault="00B477CD" w:rsidP="00B477CD">
      <w:pPr>
        <w:spacing w:after="0"/>
        <w:jc w:val="both"/>
        <w:rPr>
          <w:rFonts w:ascii="Times New Roman" w:hAnsi="Times New Roman" w:cs="Times New Roman"/>
          <w:sz w:val="24"/>
          <w:szCs w:val="24"/>
          <w:lang w:val="ro-RO"/>
        </w:rPr>
      </w:pPr>
    </w:p>
    <w:p w14:paraId="5A33E16C" w14:textId="1D76A33D" w:rsidR="00B477CD" w:rsidRPr="00270D5B" w:rsidRDefault="00B477CD" w:rsidP="00B477CD">
      <w:pPr>
        <w:spacing w:after="0"/>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Eliminare</w:t>
      </w:r>
    </w:p>
    <w:p w14:paraId="161AB209" w14:textId="77777777"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lastRenderedPageBreak/>
        <w:t xml:space="preserve">Timpii de înjumătăţire plasmatică prin eliminare ai quetiapinei şi norquetiapinei sunt de aproximativ 7 ore, respectiv 12 ore. Aproximativ 73% din substanţa activă marcată radioactiv se excretă în urină şi 21% în materiile fecale; mai puţin de 5% din totalul substanţei active marcate radioactiv se elimină sub formă nemodificată. Fracţia molară medie de quetiapină liberă şi metabolitul plasmatic activ la om, norquetiapina, se excretă în proporţie de &lt; 5% în urină. </w:t>
      </w:r>
    </w:p>
    <w:p w14:paraId="07194244" w14:textId="77777777" w:rsidR="00B477CD" w:rsidRPr="00270D5B" w:rsidRDefault="00B477CD" w:rsidP="00B477CD">
      <w:pPr>
        <w:spacing w:after="0"/>
        <w:jc w:val="both"/>
        <w:rPr>
          <w:rFonts w:ascii="Times New Roman" w:hAnsi="Times New Roman" w:cs="Times New Roman"/>
          <w:i/>
          <w:iCs/>
          <w:sz w:val="24"/>
          <w:szCs w:val="24"/>
          <w:lang w:val="ro-RO"/>
        </w:rPr>
      </w:pPr>
    </w:p>
    <w:p w14:paraId="192CD0F9" w14:textId="6B61196C"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i/>
          <w:iCs/>
          <w:sz w:val="24"/>
          <w:szCs w:val="24"/>
          <w:lang w:val="ro-RO"/>
        </w:rPr>
        <w:t xml:space="preserve">Grupe speciale de pacienţi </w:t>
      </w:r>
    </w:p>
    <w:p w14:paraId="65C5F2DE" w14:textId="77777777" w:rsidR="00B477CD" w:rsidRPr="00270D5B" w:rsidRDefault="00B477CD" w:rsidP="00B477CD">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Sex</w:t>
      </w:r>
    </w:p>
    <w:p w14:paraId="6759A1CB" w14:textId="592118EC"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Farmacocinetica quetiapinei nu diferă între bărbaţi şi femei. </w:t>
      </w:r>
    </w:p>
    <w:p w14:paraId="70A7C14E" w14:textId="77777777" w:rsidR="00B477CD" w:rsidRPr="00270D5B" w:rsidRDefault="00B477CD" w:rsidP="00B477CD">
      <w:pPr>
        <w:spacing w:after="0"/>
        <w:jc w:val="both"/>
        <w:rPr>
          <w:rFonts w:ascii="Times New Roman" w:hAnsi="Times New Roman" w:cs="Times New Roman"/>
          <w:sz w:val="24"/>
          <w:szCs w:val="24"/>
          <w:u w:val="single"/>
          <w:lang w:val="ro-RO"/>
        </w:rPr>
      </w:pPr>
    </w:p>
    <w:p w14:paraId="71E4617A" w14:textId="6355E10E" w:rsidR="00B477CD" w:rsidRPr="00270D5B" w:rsidRDefault="00B477CD" w:rsidP="00B477CD">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Vârstnici</w:t>
      </w:r>
    </w:p>
    <w:p w14:paraId="74A0D191" w14:textId="76032662"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Clearance-ul mediu al quetiapinei la vârstnici este cu aproximativ 30% până la 50% mai scăzut decât la adulţii cu vârste cuprinse între 18 şi 65 ani. </w:t>
      </w:r>
    </w:p>
    <w:p w14:paraId="69029DBD" w14:textId="77777777" w:rsidR="00B477CD" w:rsidRPr="00270D5B" w:rsidRDefault="00B477CD" w:rsidP="00B477CD">
      <w:pPr>
        <w:spacing w:after="0"/>
        <w:jc w:val="both"/>
        <w:rPr>
          <w:rFonts w:ascii="Times New Roman" w:hAnsi="Times New Roman" w:cs="Times New Roman"/>
          <w:sz w:val="24"/>
          <w:szCs w:val="24"/>
          <w:lang w:val="ro-RO"/>
        </w:rPr>
      </w:pPr>
    </w:p>
    <w:p w14:paraId="1B762B73" w14:textId="776A1887" w:rsidR="00B477CD" w:rsidRPr="00270D5B" w:rsidRDefault="00B477CD" w:rsidP="00B477CD">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Insuficienţă renală</w:t>
      </w:r>
    </w:p>
    <w:p w14:paraId="5894AC4C" w14:textId="246A4217"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Clearance-ul plasmatic mediu al quetiapinei a fost mai mic cu aproximativ 25% la subiecţii cu insuficienţă renală severă (cu clearance-ul creatininei mai mic de 30 ml/min şi 1,73m</w:t>
      </w:r>
      <w:r w:rsidRPr="00270D5B">
        <w:rPr>
          <w:rFonts w:ascii="Times New Roman" w:hAnsi="Times New Roman" w:cs="Times New Roman"/>
          <w:sz w:val="24"/>
          <w:szCs w:val="24"/>
          <w:vertAlign w:val="superscript"/>
          <w:lang w:val="ro-RO"/>
        </w:rPr>
        <w:t>2</w:t>
      </w:r>
      <w:r w:rsidRPr="00270D5B">
        <w:rPr>
          <w:rFonts w:ascii="Times New Roman" w:hAnsi="Times New Roman" w:cs="Times New Roman"/>
          <w:sz w:val="24"/>
          <w:szCs w:val="24"/>
          <w:lang w:val="ro-RO"/>
        </w:rPr>
        <w:t xml:space="preserve">), dar valorile clearance-ului individual au fost în limite normale pentru subiecţii fără această afecţiune. </w:t>
      </w:r>
    </w:p>
    <w:p w14:paraId="6303081D" w14:textId="77777777" w:rsidR="00B477CD" w:rsidRPr="00270D5B" w:rsidRDefault="00B477CD" w:rsidP="00B477CD">
      <w:pPr>
        <w:spacing w:after="0"/>
        <w:jc w:val="both"/>
        <w:rPr>
          <w:rFonts w:ascii="Times New Roman" w:hAnsi="Times New Roman" w:cs="Times New Roman"/>
          <w:sz w:val="24"/>
          <w:szCs w:val="24"/>
          <w:lang w:val="ro-RO"/>
        </w:rPr>
      </w:pPr>
    </w:p>
    <w:p w14:paraId="73E3DA72" w14:textId="0E77F172" w:rsidR="00B477CD" w:rsidRPr="00270D5B" w:rsidRDefault="00B477CD" w:rsidP="00B477CD">
      <w:pPr>
        <w:spacing w:after="0"/>
        <w:jc w:val="both"/>
        <w:rPr>
          <w:rFonts w:ascii="Times New Roman" w:hAnsi="Times New Roman" w:cs="Times New Roman"/>
          <w:sz w:val="24"/>
          <w:szCs w:val="24"/>
          <w:u w:val="single"/>
          <w:lang w:val="ro-RO"/>
        </w:rPr>
      </w:pPr>
      <w:r w:rsidRPr="00270D5B">
        <w:rPr>
          <w:rFonts w:ascii="Times New Roman" w:hAnsi="Times New Roman" w:cs="Times New Roman"/>
          <w:sz w:val="24"/>
          <w:szCs w:val="24"/>
          <w:u w:val="single"/>
          <w:lang w:val="ro-RO"/>
        </w:rPr>
        <w:t>Insuficienţă hepatică</w:t>
      </w:r>
    </w:p>
    <w:p w14:paraId="2B504DBE" w14:textId="74359187"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Clearance-ul plasmatic mediu al quetiapinei scade cu aproximativ 25% în cazul persoanelor cu insuficienţă hepatică cunoscută (ciroză hepatică alcooolică compensată). Deoarece quetiapina are o metabolizare hepatică intensă, la pacienţii cu insuficienţă hepatică este de aşteptat să apară concentraţii plasmatice crescute ale acesteia. Pot fi necesare ajustări ale dozelor în cazul acestor pacienţi (vezi pct. 4.2).</w:t>
      </w:r>
    </w:p>
    <w:p w14:paraId="5A0CF86A" w14:textId="77777777" w:rsidR="00B477CD" w:rsidRPr="00270D5B" w:rsidRDefault="00B477CD" w:rsidP="00B477CD">
      <w:pPr>
        <w:spacing w:after="0"/>
        <w:jc w:val="both"/>
        <w:rPr>
          <w:rFonts w:ascii="Times New Roman" w:hAnsi="Times New Roman" w:cs="Times New Roman"/>
          <w:b/>
          <w:bCs/>
          <w:sz w:val="24"/>
          <w:szCs w:val="24"/>
          <w:lang w:val="ro-RO"/>
        </w:rPr>
      </w:pPr>
    </w:p>
    <w:p w14:paraId="20C0547B" w14:textId="7553CF9A"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 xml:space="preserve">Copii şi adolescenţi </w:t>
      </w:r>
    </w:p>
    <w:p w14:paraId="0D75C033" w14:textId="77777777"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Datele farmacocinetice au fost colectate de la un eşantion de 9 copii între 10 şi 12 ani şi 12 adolescenţi, care primeau un tratament de menţinere cu 400 mg quetiapină de două ori pe zi. La atingerea stării de echilibru, concentraţiile plasmatice ale quetiapinei, la copii şi adolescenţi (10-17 ani), au fost în general asemănătoare cu cele de la adulţi, deşi C</w:t>
      </w:r>
      <w:r w:rsidRPr="00270D5B">
        <w:rPr>
          <w:rFonts w:ascii="Times New Roman" w:hAnsi="Times New Roman" w:cs="Times New Roman"/>
          <w:sz w:val="24"/>
          <w:szCs w:val="24"/>
          <w:vertAlign w:val="subscript"/>
          <w:lang w:val="ro-RO"/>
        </w:rPr>
        <w:t xml:space="preserve">max </w:t>
      </w:r>
      <w:r w:rsidRPr="00270D5B">
        <w:rPr>
          <w:rFonts w:ascii="Times New Roman" w:hAnsi="Times New Roman" w:cs="Times New Roman"/>
          <w:sz w:val="24"/>
          <w:szCs w:val="24"/>
          <w:lang w:val="ro-RO"/>
        </w:rPr>
        <w:t>la copii a fost la limita superioară a intervalului observat la adulţi. ASC şi C</w:t>
      </w:r>
      <w:r w:rsidRPr="00270D5B">
        <w:rPr>
          <w:rFonts w:ascii="Times New Roman" w:hAnsi="Times New Roman" w:cs="Times New Roman"/>
          <w:sz w:val="24"/>
          <w:szCs w:val="24"/>
          <w:vertAlign w:val="subscript"/>
          <w:lang w:val="ro-RO"/>
        </w:rPr>
        <w:t xml:space="preserve">max </w:t>
      </w:r>
      <w:r w:rsidRPr="00270D5B">
        <w:rPr>
          <w:rFonts w:ascii="Times New Roman" w:hAnsi="Times New Roman" w:cs="Times New Roman"/>
          <w:sz w:val="24"/>
          <w:szCs w:val="24"/>
          <w:lang w:val="ro-RO"/>
        </w:rPr>
        <w:t xml:space="preserve">pentru metabolitul activ, norquetiapina, au fost mai ridicate, aproximativ 62%, respectiv 49% la copii (10-12 ani) şi 28%, respectiv 14% la adolescenţi (13-17 ani), în comparaţie cu adulţii. </w:t>
      </w:r>
    </w:p>
    <w:p w14:paraId="3BC4A538" w14:textId="5A7E5BBD" w:rsidR="00B477CD" w:rsidRPr="00270D5B" w:rsidRDefault="00B477CD" w:rsidP="00B477CD">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Nu sunt disponibile informaţii pentru Keday XR la copii şi adolescenţi.</w:t>
      </w:r>
    </w:p>
    <w:p w14:paraId="4CC34BF0" w14:textId="77777777" w:rsidR="00B477CD" w:rsidRPr="00270D5B" w:rsidRDefault="00B477CD" w:rsidP="002B222E">
      <w:pPr>
        <w:spacing w:after="0"/>
        <w:jc w:val="both"/>
        <w:rPr>
          <w:rFonts w:ascii="Times New Roman" w:hAnsi="Times New Roman" w:cs="Times New Roman"/>
          <w:sz w:val="24"/>
          <w:szCs w:val="24"/>
          <w:lang w:val="ro-RO"/>
        </w:rPr>
      </w:pPr>
    </w:p>
    <w:p w14:paraId="1026DAE3"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5.3 Date preclinice de siguranţă</w:t>
      </w:r>
    </w:p>
    <w:p w14:paraId="5B24ADE1" w14:textId="2877871A" w:rsidR="00B03ECF" w:rsidRPr="00270D5B" w:rsidRDefault="00B477CD"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În urma unor studii de genotoxicitate efectuate in vitro şi in vivo nu s-a evidenţiat efect genotoxic. În studiile efectuate la animale de laborator care au fost expuse la valori clinic relevante s-au observat următoarele reacţii adverse, care nu au fost încă confirmate şi de studiile pe termen lung: la şobolani, s-a observat depunerea de pigment la nivelul glandei tiroide; la maimuţele </w:t>
      </w:r>
      <w:r w:rsidRPr="00270D5B">
        <w:rPr>
          <w:rFonts w:ascii="Times New Roman" w:hAnsi="Times New Roman" w:cs="Times New Roman"/>
          <w:i/>
          <w:iCs/>
          <w:sz w:val="24"/>
          <w:szCs w:val="24"/>
          <w:lang w:val="ro-RO"/>
        </w:rPr>
        <w:t>Cynomolgus</w:t>
      </w:r>
      <w:r w:rsidRPr="00270D5B">
        <w:rPr>
          <w:rFonts w:ascii="Times New Roman" w:hAnsi="Times New Roman" w:cs="Times New Roman"/>
          <w:sz w:val="24"/>
          <w:szCs w:val="24"/>
          <w:lang w:val="ro-RO"/>
        </w:rPr>
        <w:t xml:space="preserve"> s-a observat hipertrofia celulelor foliculare tiroidiene, o scădere a valorii plasmatice a T</w:t>
      </w:r>
      <w:r w:rsidRPr="00270D5B">
        <w:rPr>
          <w:rFonts w:ascii="Times New Roman" w:hAnsi="Times New Roman" w:cs="Times New Roman"/>
          <w:sz w:val="24"/>
          <w:szCs w:val="24"/>
          <w:vertAlign w:val="subscript"/>
          <w:lang w:val="ro-RO"/>
        </w:rPr>
        <w:t>3</w:t>
      </w:r>
      <w:r w:rsidRPr="00270D5B">
        <w:rPr>
          <w:rFonts w:ascii="Times New Roman" w:hAnsi="Times New Roman" w:cs="Times New Roman"/>
          <w:sz w:val="24"/>
          <w:szCs w:val="24"/>
          <w:lang w:val="ro-RO"/>
        </w:rPr>
        <w:t xml:space="preserve">, scăderea </w:t>
      </w:r>
      <w:r w:rsidRPr="00270D5B">
        <w:rPr>
          <w:rFonts w:ascii="Times New Roman" w:hAnsi="Times New Roman" w:cs="Times New Roman"/>
          <w:sz w:val="24"/>
          <w:szCs w:val="24"/>
          <w:lang w:val="ro-RO"/>
        </w:rPr>
        <w:lastRenderedPageBreak/>
        <w:t>valorii hemoglobinei şi scăderea numărului de eritrocite şi leucocite; iar la câini s-a observat opacifierea cristalinului şi cataractă. (Pentru cataractă/ opacifierea cristalinului vezi pct. 5.1).</w:t>
      </w:r>
    </w:p>
    <w:p w14:paraId="2A2DA2A4" w14:textId="77777777" w:rsidR="00B477CD" w:rsidRPr="00270D5B" w:rsidRDefault="00B477CD" w:rsidP="002B222E">
      <w:pPr>
        <w:spacing w:after="0"/>
        <w:jc w:val="both"/>
        <w:rPr>
          <w:rFonts w:ascii="Times New Roman" w:hAnsi="Times New Roman" w:cs="Times New Roman"/>
          <w:sz w:val="24"/>
          <w:szCs w:val="24"/>
          <w:lang w:val="ro-RO"/>
        </w:rPr>
      </w:pPr>
    </w:p>
    <w:p w14:paraId="3096F976" w14:textId="4EA2918E" w:rsidR="00B477CD" w:rsidRPr="00270D5B" w:rsidRDefault="005B52A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privind toxicitatea embriofetală la iepuri, incidenţa flexurii carpo/tarsale a fost crescută. Acest efect a apărut concomitent cu efecte materne evidente, precum o creştere redusă a greutăţii corporale. Aceste efecte au apărut la valori de expunere similare sau uşor mai mari decât cele obţinute după administrarea dozei terapeutice maxime la om. La om, relavanţa acestei constatări nu este ecunoscută.</w:t>
      </w:r>
    </w:p>
    <w:p w14:paraId="5E1BF976" w14:textId="77777777" w:rsidR="00B477CD" w:rsidRPr="00270D5B" w:rsidRDefault="00B477CD" w:rsidP="002B222E">
      <w:pPr>
        <w:spacing w:after="0"/>
        <w:jc w:val="both"/>
        <w:rPr>
          <w:rFonts w:ascii="Times New Roman" w:hAnsi="Times New Roman" w:cs="Times New Roman"/>
          <w:sz w:val="24"/>
          <w:szCs w:val="24"/>
          <w:lang w:val="ro-RO"/>
        </w:rPr>
      </w:pPr>
    </w:p>
    <w:p w14:paraId="53A76778" w14:textId="6D5FE31F" w:rsidR="00B477CD" w:rsidRPr="00270D5B" w:rsidRDefault="005B52A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Într-un studiu de fertilitate efectuat la şobolani, s-au observat reducere limitată a fertilităţii la masculi şi sarcini false, durată prelungită a stresului, creştere a intervalului precoital, reducere a frecvenţei perioadelor de gestaţie. Aceste efecte sunt asociate prolactinemiei crescute şi nu sunt relevante în mod direct pentru om, datorită diferenţelor interspecii în controlul hormonal al reproducerii.</w:t>
      </w:r>
    </w:p>
    <w:p w14:paraId="2B3B0807" w14:textId="77777777" w:rsidR="00B477CD" w:rsidRDefault="00B477CD" w:rsidP="002B222E">
      <w:pPr>
        <w:spacing w:after="0"/>
        <w:jc w:val="both"/>
        <w:rPr>
          <w:rFonts w:ascii="Times New Roman" w:hAnsi="Times New Roman" w:cs="Times New Roman"/>
          <w:sz w:val="24"/>
          <w:szCs w:val="24"/>
          <w:lang w:val="ro-RO"/>
        </w:rPr>
      </w:pPr>
    </w:p>
    <w:p w14:paraId="52974DE9" w14:textId="77777777" w:rsidR="00325CCA" w:rsidRPr="00270D5B" w:rsidRDefault="00325CCA" w:rsidP="002B222E">
      <w:pPr>
        <w:spacing w:after="0"/>
        <w:jc w:val="both"/>
        <w:rPr>
          <w:rFonts w:ascii="Times New Roman" w:hAnsi="Times New Roman" w:cs="Times New Roman"/>
          <w:sz w:val="24"/>
          <w:szCs w:val="24"/>
          <w:lang w:val="ro-RO"/>
        </w:rPr>
      </w:pPr>
    </w:p>
    <w:p w14:paraId="3BF2F64D" w14:textId="77777777" w:rsidR="00170B94"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6. PROPRIETĂŢI FARMACEUTICE</w:t>
      </w:r>
    </w:p>
    <w:p w14:paraId="1324A4FD" w14:textId="77777777" w:rsidR="00325CCA" w:rsidRPr="00270D5B" w:rsidRDefault="00325CCA" w:rsidP="002B222E">
      <w:pPr>
        <w:spacing w:after="0"/>
        <w:jc w:val="both"/>
        <w:rPr>
          <w:rFonts w:ascii="Times New Roman" w:hAnsi="Times New Roman" w:cs="Times New Roman"/>
          <w:b/>
          <w:bCs/>
          <w:sz w:val="24"/>
          <w:szCs w:val="24"/>
          <w:lang w:val="ro-RO"/>
        </w:rPr>
      </w:pPr>
    </w:p>
    <w:p w14:paraId="72DFCAF3"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6.1 Lista excipienţilor</w:t>
      </w:r>
    </w:p>
    <w:p w14:paraId="6D5A6F52" w14:textId="36AAE26D" w:rsidR="005033E3" w:rsidRPr="00270D5B" w:rsidRDefault="005B52AC" w:rsidP="002B222E">
      <w:pPr>
        <w:spacing w:after="0"/>
        <w:jc w:val="both"/>
        <w:rPr>
          <w:rFonts w:ascii="Times New Roman" w:hAnsi="Times New Roman" w:cs="Times New Roman"/>
          <w:i/>
          <w:iCs/>
          <w:sz w:val="24"/>
          <w:szCs w:val="24"/>
          <w:lang w:val="ro-RO"/>
        </w:rPr>
      </w:pPr>
      <w:r w:rsidRPr="00270D5B">
        <w:rPr>
          <w:rFonts w:ascii="Times New Roman" w:hAnsi="Times New Roman" w:cs="Times New Roman"/>
          <w:i/>
          <w:iCs/>
          <w:sz w:val="24"/>
          <w:szCs w:val="24"/>
          <w:lang w:val="ro-RO"/>
        </w:rPr>
        <w:t>Nucleu</w:t>
      </w:r>
    </w:p>
    <w:p w14:paraId="206E9AD2" w14:textId="3B55F54C" w:rsidR="00821422" w:rsidRPr="00270D5B" w:rsidRDefault="005B52AC" w:rsidP="002B222E">
      <w:pPr>
        <w:spacing w:after="0"/>
        <w:jc w:val="both"/>
        <w:rPr>
          <w:rFonts w:ascii="Times New Roman" w:hAnsi="Times New Roman" w:cs="Times New Roman"/>
          <w:sz w:val="24"/>
          <w:szCs w:val="24"/>
          <w:lang w:val="ro-RO"/>
        </w:rPr>
      </w:pPr>
      <w:bookmarkStart w:id="2" w:name="_Hlk179376228"/>
      <w:r w:rsidRPr="00270D5B">
        <w:rPr>
          <w:rFonts w:ascii="Times New Roman" w:hAnsi="Times New Roman" w:cs="Times New Roman"/>
          <w:sz w:val="24"/>
          <w:szCs w:val="24"/>
          <w:lang w:val="ro-RO"/>
        </w:rPr>
        <w:t>Lactoză (anhidră)</w:t>
      </w:r>
    </w:p>
    <w:p w14:paraId="62BD5A6E" w14:textId="37C60479" w:rsidR="005B52AC" w:rsidRPr="00270D5B" w:rsidRDefault="005B52AC"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Celuloză microcristalină PH 102</w:t>
      </w:r>
    </w:p>
    <w:p w14:paraId="35A934C4" w14:textId="77777777" w:rsidR="005B52AC" w:rsidRPr="00270D5B" w:rsidRDefault="005B52AC" w:rsidP="005B52A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Hidroxipropil metilceluloză 4000 mPa.s (Methocel K4M Premium CR)</w:t>
      </w:r>
    </w:p>
    <w:p w14:paraId="375A0AB0" w14:textId="77777777" w:rsidR="005B52AC" w:rsidRPr="00270D5B" w:rsidRDefault="005B52AC" w:rsidP="005B52A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Hidroxipropil metilceluloză 250 mPa.s (Benecel K250 PH PRM)</w:t>
      </w:r>
    </w:p>
    <w:p w14:paraId="1458C05B" w14:textId="77777777" w:rsidR="005B52AC" w:rsidRPr="00270D5B" w:rsidRDefault="005B52AC" w:rsidP="005B52A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Citrat trisodic dihidrat</w:t>
      </w:r>
    </w:p>
    <w:p w14:paraId="0372756F" w14:textId="2BD8224D" w:rsidR="005B52AC" w:rsidRDefault="005B52AC" w:rsidP="005B52AC">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Stearat de magneziu</w:t>
      </w:r>
      <w:bookmarkEnd w:id="2"/>
    </w:p>
    <w:p w14:paraId="710FCFD9" w14:textId="77777777" w:rsidR="00325CCA" w:rsidRPr="00270D5B" w:rsidRDefault="00325CCA" w:rsidP="005B52AC">
      <w:pPr>
        <w:spacing w:after="0"/>
        <w:jc w:val="both"/>
        <w:rPr>
          <w:rFonts w:ascii="Times New Roman" w:hAnsi="Times New Roman" w:cs="Times New Roman"/>
          <w:sz w:val="24"/>
          <w:szCs w:val="24"/>
          <w:lang w:val="ro-RO"/>
        </w:rPr>
      </w:pPr>
    </w:p>
    <w:p w14:paraId="69875446" w14:textId="7A04A3CA" w:rsidR="005B52AC" w:rsidRPr="00270D5B" w:rsidRDefault="000E4CFE" w:rsidP="005B52AC">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 xml:space="preserve">Keday XR 50mg : </w:t>
      </w:r>
      <w:r w:rsidR="005B52AC" w:rsidRPr="00270D5B">
        <w:rPr>
          <w:rFonts w:ascii="Times New Roman" w:hAnsi="Times New Roman" w:cs="Times New Roman"/>
          <w:i/>
          <w:iCs/>
          <w:sz w:val="24"/>
          <w:szCs w:val="24"/>
          <w:lang w:val="ro-RO"/>
        </w:rPr>
        <w:t xml:space="preserve">Film </w:t>
      </w:r>
      <w:bookmarkStart w:id="3" w:name="_Hlk179376729"/>
      <w:r w:rsidR="005B52AC" w:rsidRPr="00270D5B">
        <w:rPr>
          <w:rFonts w:ascii="Times New Roman" w:hAnsi="Times New Roman" w:cs="Times New Roman"/>
          <w:i/>
          <w:iCs/>
          <w:sz w:val="24"/>
          <w:szCs w:val="24"/>
          <w:lang w:val="ro-RO"/>
        </w:rPr>
        <w:t xml:space="preserve">Opadry II Pink 31F240012: </w:t>
      </w:r>
      <w:r w:rsidR="005B52AC" w:rsidRPr="00270D5B">
        <w:rPr>
          <w:rFonts w:ascii="Times New Roman" w:hAnsi="Times New Roman" w:cs="Times New Roman"/>
          <w:sz w:val="24"/>
          <w:szCs w:val="24"/>
          <w:lang w:val="ro-RO"/>
        </w:rPr>
        <w:t xml:space="preserve">lactoză monohidrat, HPMC 2910/hipromeloză 15cP, dioxid de titan (E171), macrogol/PEG 4000, </w:t>
      </w:r>
      <w:r w:rsidR="00397867" w:rsidRPr="00270D5B">
        <w:rPr>
          <w:rFonts w:ascii="Times New Roman" w:hAnsi="Times New Roman" w:cs="Times New Roman"/>
          <w:sz w:val="24"/>
          <w:szCs w:val="24"/>
          <w:lang w:val="ro-RO"/>
        </w:rPr>
        <w:t xml:space="preserve">oxid roșu de fier (E172), oxid galben de fier (E172), FD&amp;C galben #6/lac de aluminiu </w:t>
      </w:r>
      <w:bookmarkStart w:id="4" w:name="_Hlk179369260"/>
      <w:r w:rsidR="00763ADC" w:rsidRPr="00270D5B">
        <w:rPr>
          <w:rFonts w:ascii="Times New Roman" w:hAnsi="Times New Roman" w:cs="Times New Roman"/>
          <w:sz w:val="24"/>
          <w:szCs w:val="24"/>
          <w:lang w:val="ro-RO"/>
        </w:rPr>
        <w:t xml:space="preserve">Galben amurg FCT </w:t>
      </w:r>
      <w:r w:rsidR="00397867" w:rsidRPr="00270D5B">
        <w:rPr>
          <w:rFonts w:ascii="Times New Roman" w:hAnsi="Times New Roman" w:cs="Times New Roman"/>
          <w:sz w:val="24"/>
          <w:szCs w:val="24"/>
          <w:lang w:val="ro-RO"/>
        </w:rPr>
        <w:t>(E110)</w:t>
      </w:r>
      <w:bookmarkEnd w:id="4"/>
      <w:r w:rsidR="00397867" w:rsidRPr="00270D5B">
        <w:rPr>
          <w:rFonts w:ascii="Times New Roman" w:hAnsi="Times New Roman" w:cs="Times New Roman"/>
          <w:sz w:val="24"/>
          <w:szCs w:val="24"/>
          <w:lang w:val="ro-RO"/>
        </w:rPr>
        <w:t>.</w:t>
      </w:r>
    </w:p>
    <w:p w14:paraId="3CF79988" w14:textId="77777777" w:rsidR="000E4CFE" w:rsidRPr="00270D5B" w:rsidRDefault="000E4CFE" w:rsidP="005B52AC">
      <w:pPr>
        <w:spacing w:after="0"/>
        <w:jc w:val="both"/>
        <w:rPr>
          <w:rFonts w:ascii="Times New Roman" w:hAnsi="Times New Roman" w:cs="Times New Roman"/>
          <w:i/>
          <w:iCs/>
          <w:sz w:val="24"/>
          <w:szCs w:val="24"/>
          <w:lang w:val="ro-RO"/>
        </w:rPr>
      </w:pPr>
    </w:p>
    <w:p w14:paraId="16CB693F" w14:textId="36E8372E" w:rsidR="000E4CFE" w:rsidRPr="00270D5B" w:rsidRDefault="000E4CFE" w:rsidP="005B52AC">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 xml:space="preserve">Keday XR 150mg : </w:t>
      </w:r>
      <w:r w:rsidRPr="00270D5B">
        <w:rPr>
          <w:rFonts w:ascii="Times New Roman" w:hAnsi="Times New Roman" w:cs="Times New Roman"/>
          <w:sz w:val="24"/>
          <w:szCs w:val="24"/>
          <w:lang w:val="ro-RO"/>
        </w:rPr>
        <w:t>Opadry Y1-7000 White: HPMC 2910/hipromeloză 5cP, dioxid de titan (E171), macrogol/PEG 4000.</w:t>
      </w:r>
    </w:p>
    <w:bookmarkEnd w:id="3"/>
    <w:p w14:paraId="3019D84E" w14:textId="77777777" w:rsidR="005B52AC" w:rsidRPr="00270D5B" w:rsidRDefault="005B52AC" w:rsidP="005B52AC">
      <w:pPr>
        <w:spacing w:after="0"/>
        <w:jc w:val="both"/>
        <w:rPr>
          <w:rFonts w:ascii="Times New Roman" w:hAnsi="Times New Roman" w:cs="Times New Roman"/>
          <w:b/>
          <w:bCs/>
          <w:sz w:val="24"/>
          <w:szCs w:val="24"/>
          <w:lang w:val="ro-RO"/>
        </w:rPr>
      </w:pPr>
    </w:p>
    <w:p w14:paraId="73F4B8F6" w14:textId="6331498F" w:rsidR="000E4CFE" w:rsidRPr="00270D5B" w:rsidRDefault="000E4CFE" w:rsidP="005B52AC">
      <w:pPr>
        <w:spacing w:after="0"/>
        <w:jc w:val="both"/>
        <w:rPr>
          <w:rFonts w:ascii="Times New Roman" w:hAnsi="Times New Roman" w:cs="Times New Roman"/>
          <w:sz w:val="24"/>
          <w:szCs w:val="24"/>
          <w:lang w:val="ro-RO"/>
        </w:rPr>
      </w:pPr>
      <w:r w:rsidRPr="00270D5B">
        <w:rPr>
          <w:rFonts w:ascii="Times New Roman" w:hAnsi="Times New Roman" w:cs="Times New Roman"/>
          <w:b/>
          <w:bCs/>
          <w:sz w:val="24"/>
          <w:szCs w:val="24"/>
          <w:lang w:val="ro-RO"/>
        </w:rPr>
        <w:t xml:space="preserve">Keday XR 200mg : </w:t>
      </w:r>
      <w:r w:rsidRPr="00270D5B">
        <w:rPr>
          <w:rFonts w:ascii="Times New Roman" w:hAnsi="Times New Roman" w:cs="Times New Roman"/>
          <w:sz w:val="24"/>
          <w:szCs w:val="24"/>
          <w:lang w:val="ro-RO"/>
        </w:rPr>
        <w:t>oxid galben de fier (E172) și Opadry Y1-7000 White: HPMC 2910/hipromeloză 5cP, dioxid de titan (E171), macrogol/PEG 4000.</w:t>
      </w:r>
    </w:p>
    <w:p w14:paraId="4CC264E3" w14:textId="77777777" w:rsidR="000E4CFE" w:rsidRPr="00270D5B" w:rsidRDefault="000E4CFE" w:rsidP="005B52AC">
      <w:pPr>
        <w:spacing w:after="0"/>
        <w:jc w:val="both"/>
        <w:rPr>
          <w:rFonts w:ascii="Times New Roman" w:hAnsi="Times New Roman" w:cs="Times New Roman"/>
          <w:sz w:val="24"/>
          <w:szCs w:val="24"/>
          <w:lang w:val="ro-RO"/>
        </w:rPr>
      </w:pPr>
    </w:p>
    <w:p w14:paraId="0EA12681"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6.2 Incompatibilităţi</w:t>
      </w:r>
    </w:p>
    <w:p w14:paraId="574ED2BE" w14:textId="77777777" w:rsidR="00170B94" w:rsidRPr="00270D5B" w:rsidRDefault="00170B94"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Nu este cazul.</w:t>
      </w:r>
    </w:p>
    <w:p w14:paraId="05F79F7D" w14:textId="77777777" w:rsidR="00E70C00" w:rsidRPr="00270D5B" w:rsidRDefault="00E70C00" w:rsidP="002B222E">
      <w:pPr>
        <w:spacing w:after="0"/>
        <w:jc w:val="both"/>
        <w:rPr>
          <w:rFonts w:ascii="Times New Roman" w:hAnsi="Times New Roman" w:cs="Times New Roman"/>
          <w:sz w:val="24"/>
          <w:szCs w:val="24"/>
          <w:lang w:val="ro-RO"/>
        </w:rPr>
      </w:pPr>
    </w:p>
    <w:p w14:paraId="07AE376F"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6.3 Perioada de valabilitate</w:t>
      </w:r>
    </w:p>
    <w:p w14:paraId="41915991" w14:textId="77777777" w:rsidR="00170B94" w:rsidRPr="00270D5B" w:rsidRDefault="00170B94"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2</w:t>
      </w:r>
      <w:r w:rsidR="00E70C00" w:rsidRPr="00270D5B">
        <w:rPr>
          <w:rFonts w:ascii="Times New Roman" w:hAnsi="Times New Roman" w:cs="Times New Roman"/>
          <w:sz w:val="24"/>
          <w:szCs w:val="24"/>
          <w:lang w:val="ro-RO"/>
        </w:rPr>
        <w:t>4</w:t>
      </w:r>
      <w:r w:rsidRPr="00270D5B">
        <w:rPr>
          <w:rFonts w:ascii="Times New Roman" w:hAnsi="Times New Roman" w:cs="Times New Roman"/>
          <w:sz w:val="24"/>
          <w:szCs w:val="24"/>
          <w:lang w:val="ro-RO"/>
        </w:rPr>
        <w:t xml:space="preserve"> </w:t>
      </w:r>
      <w:r w:rsidR="00E70C00" w:rsidRPr="00270D5B">
        <w:rPr>
          <w:rFonts w:ascii="Times New Roman" w:hAnsi="Times New Roman" w:cs="Times New Roman"/>
          <w:sz w:val="24"/>
          <w:szCs w:val="24"/>
          <w:lang w:val="ro-RO"/>
        </w:rPr>
        <w:t>luni.</w:t>
      </w:r>
    </w:p>
    <w:p w14:paraId="0025EB05" w14:textId="77777777" w:rsidR="00E70C00" w:rsidRPr="00270D5B" w:rsidRDefault="00E70C00" w:rsidP="002B222E">
      <w:pPr>
        <w:spacing w:after="0"/>
        <w:jc w:val="both"/>
        <w:rPr>
          <w:rFonts w:ascii="Times New Roman" w:hAnsi="Times New Roman" w:cs="Times New Roman"/>
          <w:sz w:val="24"/>
          <w:szCs w:val="24"/>
          <w:lang w:val="ro-RO"/>
        </w:rPr>
      </w:pPr>
    </w:p>
    <w:p w14:paraId="49B5BC0A"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lastRenderedPageBreak/>
        <w:t>6.4 Precauţii speciale pentru păstrare</w:t>
      </w:r>
    </w:p>
    <w:p w14:paraId="5F1C3D9E" w14:textId="79DEF779" w:rsidR="00E70C00" w:rsidRPr="00270D5B" w:rsidRDefault="006100A0" w:rsidP="002B222E">
      <w:pPr>
        <w:spacing w:after="0"/>
        <w:jc w:val="both"/>
        <w:rPr>
          <w:rFonts w:ascii="Times New Roman" w:hAnsi="Times New Roman" w:cs="Times New Roman"/>
          <w:sz w:val="24"/>
          <w:szCs w:val="24"/>
          <w:lang w:val="ro-RO"/>
        </w:rPr>
      </w:pPr>
      <w:bookmarkStart w:id="5" w:name="_Hlk179375946"/>
      <w:r w:rsidRPr="00270D5B">
        <w:rPr>
          <w:rFonts w:ascii="Times New Roman" w:hAnsi="Times New Roman" w:cs="Times New Roman"/>
          <w:sz w:val="24"/>
          <w:szCs w:val="24"/>
          <w:lang w:val="ro-RO"/>
        </w:rPr>
        <w:t xml:space="preserve">A se păstra la temperaturi sub </w:t>
      </w:r>
      <w:r w:rsidR="00397867" w:rsidRPr="00270D5B">
        <w:rPr>
          <w:rFonts w:ascii="Times New Roman" w:hAnsi="Times New Roman" w:cs="Times New Roman"/>
          <w:sz w:val="24"/>
          <w:szCs w:val="24"/>
          <w:lang w:val="ro-RO"/>
        </w:rPr>
        <w:t>30</w:t>
      </w:r>
      <w:r w:rsidRPr="00270D5B">
        <w:rPr>
          <w:rFonts w:ascii="Times New Roman" w:hAnsi="Times New Roman" w:cs="Times New Roman"/>
          <w:sz w:val="24"/>
          <w:szCs w:val="24"/>
          <w:lang w:val="ro-RO"/>
        </w:rPr>
        <w:t>°C</w:t>
      </w:r>
      <w:r w:rsidR="00397867" w:rsidRPr="00270D5B">
        <w:rPr>
          <w:rFonts w:ascii="Times New Roman" w:hAnsi="Times New Roman" w:cs="Times New Roman"/>
          <w:sz w:val="24"/>
          <w:szCs w:val="24"/>
          <w:lang w:val="ro-RO"/>
        </w:rPr>
        <w:t>.</w:t>
      </w:r>
    </w:p>
    <w:bookmarkEnd w:id="5"/>
    <w:p w14:paraId="4BBB70C3" w14:textId="77777777" w:rsidR="006100A0" w:rsidRPr="00270D5B" w:rsidRDefault="006100A0" w:rsidP="002B222E">
      <w:pPr>
        <w:spacing w:after="0"/>
        <w:jc w:val="both"/>
        <w:rPr>
          <w:rFonts w:ascii="Times New Roman" w:hAnsi="Times New Roman" w:cs="Times New Roman"/>
          <w:sz w:val="24"/>
          <w:szCs w:val="24"/>
          <w:lang w:val="ro-RO"/>
        </w:rPr>
      </w:pPr>
    </w:p>
    <w:p w14:paraId="5974CA03"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6.5 Natura şi conţinutul ambalajului</w:t>
      </w:r>
    </w:p>
    <w:p w14:paraId="15B14029" w14:textId="6751F3B6" w:rsidR="00E70C00" w:rsidRPr="00270D5B" w:rsidRDefault="00397867" w:rsidP="002B222E">
      <w:pPr>
        <w:spacing w:after="0"/>
        <w:jc w:val="both"/>
        <w:rPr>
          <w:rFonts w:ascii="Times New Roman" w:hAnsi="Times New Roman" w:cs="Times New Roman"/>
          <w:sz w:val="24"/>
          <w:szCs w:val="24"/>
          <w:lang w:val="ro-RO"/>
        </w:rPr>
      </w:pPr>
      <w:bookmarkStart w:id="6" w:name="_Hlk179377898"/>
      <w:r w:rsidRPr="00270D5B">
        <w:rPr>
          <w:rFonts w:ascii="Times New Roman" w:hAnsi="Times New Roman" w:cs="Times New Roman"/>
          <w:sz w:val="24"/>
          <w:szCs w:val="24"/>
          <w:lang w:val="ro-RO"/>
        </w:rPr>
        <w:t xml:space="preserve">254 μ PVC / 51 μ PCTFE (ACLAR) alb opac - Blister din folie de aluminiu </w:t>
      </w:r>
      <w:bookmarkEnd w:id="6"/>
      <w:r w:rsidRPr="00270D5B">
        <w:rPr>
          <w:rFonts w:ascii="Times New Roman" w:hAnsi="Times New Roman" w:cs="Times New Roman"/>
          <w:sz w:val="24"/>
          <w:szCs w:val="24"/>
          <w:lang w:val="ro-RO"/>
        </w:rPr>
        <w:t xml:space="preserve">cu 30 și 60 de comprimate cu eliberare prelungită. </w:t>
      </w:r>
    </w:p>
    <w:p w14:paraId="61C5024D" w14:textId="5614F7D7" w:rsidR="00170B94" w:rsidRPr="00270D5B" w:rsidRDefault="00B11441"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Cîte </w:t>
      </w:r>
      <w:r w:rsidR="00647BF9" w:rsidRPr="00270D5B">
        <w:rPr>
          <w:rFonts w:ascii="Times New Roman" w:hAnsi="Times New Roman" w:cs="Times New Roman"/>
          <w:sz w:val="24"/>
          <w:szCs w:val="24"/>
          <w:lang w:val="ro-RO"/>
        </w:rPr>
        <w:t>1</w:t>
      </w:r>
      <w:r w:rsidR="006100A0" w:rsidRPr="00270D5B">
        <w:rPr>
          <w:rFonts w:ascii="Times New Roman" w:hAnsi="Times New Roman" w:cs="Times New Roman"/>
          <w:sz w:val="24"/>
          <w:szCs w:val="24"/>
          <w:lang w:val="ro-RO"/>
        </w:rPr>
        <w:t xml:space="preserve">0 </w:t>
      </w:r>
      <w:r w:rsidR="00397867" w:rsidRPr="00270D5B">
        <w:rPr>
          <w:rFonts w:ascii="Times New Roman" w:hAnsi="Times New Roman" w:cs="Times New Roman"/>
          <w:sz w:val="24"/>
          <w:szCs w:val="24"/>
          <w:lang w:val="ro-RO"/>
        </w:rPr>
        <w:t>comprimate cu eliberare prelungită</w:t>
      </w:r>
      <w:r w:rsidR="006100A0" w:rsidRPr="00270D5B">
        <w:rPr>
          <w:rFonts w:ascii="Times New Roman" w:hAnsi="Times New Roman" w:cs="Times New Roman"/>
          <w:sz w:val="24"/>
          <w:szCs w:val="24"/>
          <w:lang w:val="ro-RO"/>
        </w:rPr>
        <w:t xml:space="preserve"> în blister, câte </w:t>
      </w:r>
      <w:r w:rsidR="008204CC" w:rsidRPr="00270D5B">
        <w:rPr>
          <w:rFonts w:ascii="Times New Roman" w:hAnsi="Times New Roman" w:cs="Times New Roman"/>
          <w:sz w:val="24"/>
          <w:szCs w:val="24"/>
          <w:lang w:val="ro-RO"/>
        </w:rPr>
        <w:t>3</w:t>
      </w:r>
      <w:r w:rsidR="006100A0" w:rsidRPr="00270D5B">
        <w:rPr>
          <w:rFonts w:ascii="Times New Roman" w:hAnsi="Times New Roman" w:cs="Times New Roman"/>
          <w:sz w:val="24"/>
          <w:szCs w:val="24"/>
          <w:lang w:val="ro-RO"/>
        </w:rPr>
        <w:t xml:space="preserve"> blistere </w:t>
      </w:r>
      <w:r w:rsidRPr="00270D5B">
        <w:rPr>
          <w:rFonts w:ascii="Times New Roman" w:hAnsi="Times New Roman" w:cs="Times New Roman"/>
          <w:sz w:val="24"/>
          <w:szCs w:val="24"/>
          <w:lang w:val="ro-RO"/>
        </w:rPr>
        <w:t>în cutie</w:t>
      </w:r>
      <w:r w:rsidR="00170B94" w:rsidRPr="00270D5B">
        <w:rPr>
          <w:rFonts w:ascii="Times New Roman" w:hAnsi="Times New Roman" w:cs="Times New Roman"/>
          <w:sz w:val="24"/>
          <w:szCs w:val="24"/>
          <w:lang w:val="ro-RO"/>
        </w:rPr>
        <w:t>.</w:t>
      </w:r>
    </w:p>
    <w:p w14:paraId="7A70CD77" w14:textId="0654412A" w:rsidR="00CA6BD8" w:rsidRPr="00270D5B" w:rsidRDefault="00CA6BD8" w:rsidP="00CA6BD8">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 xml:space="preserve">Cîte </w:t>
      </w:r>
      <w:r w:rsidR="00647BF9" w:rsidRPr="00270D5B">
        <w:rPr>
          <w:rFonts w:ascii="Times New Roman" w:hAnsi="Times New Roman" w:cs="Times New Roman"/>
          <w:sz w:val="24"/>
          <w:szCs w:val="24"/>
          <w:lang w:val="ro-RO"/>
        </w:rPr>
        <w:t>1</w:t>
      </w:r>
      <w:r w:rsidRPr="00270D5B">
        <w:rPr>
          <w:rFonts w:ascii="Times New Roman" w:hAnsi="Times New Roman" w:cs="Times New Roman"/>
          <w:sz w:val="24"/>
          <w:szCs w:val="24"/>
          <w:lang w:val="ro-RO"/>
        </w:rPr>
        <w:t>0 comprimate cu eliberare prelungită în blister, câte 6 blistere în cutie.</w:t>
      </w:r>
    </w:p>
    <w:p w14:paraId="30F19C38" w14:textId="77777777" w:rsidR="00597406" w:rsidRPr="00270D5B" w:rsidRDefault="00597406" w:rsidP="002B222E">
      <w:pPr>
        <w:spacing w:after="0"/>
        <w:jc w:val="both"/>
        <w:rPr>
          <w:rFonts w:ascii="Times New Roman" w:hAnsi="Times New Roman" w:cs="Times New Roman"/>
          <w:sz w:val="24"/>
          <w:szCs w:val="24"/>
          <w:lang w:val="ro-RO"/>
        </w:rPr>
      </w:pPr>
    </w:p>
    <w:p w14:paraId="248B1E29" w14:textId="77777777"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6.6 Precauţii speciale pentru eliminarea reziduurilor</w:t>
      </w:r>
    </w:p>
    <w:p w14:paraId="0810C1E5" w14:textId="77777777" w:rsidR="00170B94" w:rsidRPr="00270D5B" w:rsidRDefault="00E70C00"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Orice medicament neutilizat sau material rezidual trebuie eliminat în conformitate cu cerințele locale</w:t>
      </w:r>
      <w:r w:rsidR="00170B94" w:rsidRPr="00270D5B">
        <w:rPr>
          <w:rFonts w:ascii="Times New Roman" w:hAnsi="Times New Roman" w:cs="Times New Roman"/>
          <w:sz w:val="24"/>
          <w:szCs w:val="24"/>
          <w:lang w:val="ro-RO"/>
        </w:rPr>
        <w:t>.</w:t>
      </w:r>
    </w:p>
    <w:p w14:paraId="05EB2E1C" w14:textId="77777777" w:rsidR="00E70C00" w:rsidRDefault="00E70C00" w:rsidP="002B222E">
      <w:pPr>
        <w:spacing w:after="0"/>
        <w:jc w:val="both"/>
        <w:rPr>
          <w:rFonts w:ascii="Times New Roman" w:hAnsi="Times New Roman" w:cs="Times New Roman"/>
          <w:sz w:val="24"/>
          <w:szCs w:val="24"/>
          <w:lang w:val="ro-RO"/>
        </w:rPr>
      </w:pPr>
    </w:p>
    <w:p w14:paraId="1EA901FC" w14:textId="77777777" w:rsidR="00325CCA" w:rsidRPr="00270D5B" w:rsidRDefault="00325CCA" w:rsidP="002B222E">
      <w:pPr>
        <w:spacing w:after="0"/>
        <w:jc w:val="both"/>
        <w:rPr>
          <w:rFonts w:ascii="Times New Roman" w:hAnsi="Times New Roman" w:cs="Times New Roman"/>
          <w:sz w:val="24"/>
          <w:szCs w:val="24"/>
          <w:lang w:val="ro-RO"/>
        </w:rPr>
      </w:pPr>
    </w:p>
    <w:p w14:paraId="2A549954" w14:textId="493A31F3" w:rsidR="00170B94" w:rsidRPr="00270D5B" w:rsidRDefault="00170B94" w:rsidP="002B222E">
      <w:pPr>
        <w:spacing w:after="0"/>
        <w:jc w:val="both"/>
        <w:rPr>
          <w:rFonts w:ascii="Times New Roman" w:hAnsi="Times New Roman" w:cs="Times New Roman"/>
          <w:b/>
          <w:bCs/>
          <w:sz w:val="24"/>
          <w:szCs w:val="24"/>
          <w:lang w:val="ro-RO"/>
        </w:rPr>
      </w:pPr>
      <w:r w:rsidRPr="00270D5B">
        <w:rPr>
          <w:rFonts w:ascii="Times New Roman" w:hAnsi="Times New Roman" w:cs="Times New Roman"/>
          <w:b/>
          <w:bCs/>
          <w:sz w:val="24"/>
          <w:szCs w:val="24"/>
          <w:lang w:val="ro-RO"/>
        </w:rPr>
        <w:t xml:space="preserve">7. </w:t>
      </w:r>
      <w:bookmarkStart w:id="7" w:name="_Hlk210205888"/>
      <w:r w:rsidRPr="00270D5B">
        <w:rPr>
          <w:rFonts w:ascii="Times New Roman" w:hAnsi="Times New Roman" w:cs="Times New Roman"/>
          <w:b/>
          <w:bCs/>
          <w:sz w:val="24"/>
          <w:szCs w:val="24"/>
          <w:lang w:val="ro-RO"/>
        </w:rPr>
        <w:t xml:space="preserve">DEŢINĂTORUL </w:t>
      </w:r>
      <w:r w:rsidR="00346146" w:rsidRPr="00325CCA">
        <w:rPr>
          <w:rFonts w:ascii="Times New Roman" w:hAnsi="Times New Roman" w:cs="Times New Roman"/>
          <w:b/>
          <w:bCs/>
          <w:sz w:val="24"/>
          <w:szCs w:val="24"/>
          <w:lang w:val="ro-RO" w:bidi="ro-RO"/>
        </w:rPr>
        <w:t>AUTORIZAŢIEI DE PUNERE PE PIAŢĂ</w:t>
      </w:r>
      <w:bookmarkEnd w:id="7"/>
    </w:p>
    <w:p w14:paraId="2732B2D6" w14:textId="20D6C1E6" w:rsidR="00B11441" w:rsidRPr="00270D5B" w:rsidRDefault="00B11441" w:rsidP="002B222E">
      <w:pPr>
        <w:pStyle w:val="NoSpacing"/>
        <w:jc w:val="both"/>
        <w:rPr>
          <w:rFonts w:ascii="Times New Roman" w:hAnsi="Times New Roman"/>
          <w:sz w:val="24"/>
          <w:szCs w:val="24"/>
          <w:lang w:val="ro-RO"/>
        </w:rPr>
      </w:pPr>
      <w:bookmarkStart w:id="8" w:name="_Hlk179378293"/>
      <w:r w:rsidRPr="00270D5B">
        <w:rPr>
          <w:rFonts w:ascii="Times New Roman" w:hAnsi="Times New Roman"/>
          <w:sz w:val="24"/>
          <w:szCs w:val="24"/>
          <w:lang w:val="ro-RO"/>
        </w:rPr>
        <w:t xml:space="preserve">Nobel Ilaç </w:t>
      </w:r>
      <w:r w:rsidR="00BC5CF7" w:rsidRPr="00270D5B">
        <w:rPr>
          <w:rFonts w:ascii="Times New Roman" w:hAnsi="Times New Roman"/>
          <w:sz w:val="24"/>
          <w:szCs w:val="24"/>
          <w:lang w:val="ro-RO"/>
        </w:rPr>
        <w:t xml:space="preserve">Sanayii </w:t>
      </w:r>
      <w:r w:rsidR="00CA6BD8" w:rsidRPr="00270D5B">
        <w:rPr>
          <w:rFonts w:ascii="Times New Roman" w:hAnsi="Times New Roman"/>
          <w:sz w:val="24"/>
          <w:szCs w:val="24"/>
          <w:lang w:val="ro-RO"/>
        </w:rPr>
        <w:t>ve Ticaret A.S.,</w:t>
      </w:r>
    </w:p>
    <w:p w14:paraId="1AA5CAC2" w14:textId="0E44240B" w:rsidR="00CA6BD8" w:rsidRPr="00FE15A1" w:rsidRDefault="00CA6BD8" w:rsidP="00CA6BD8">
      <w:pPr>
        <w:spacing w:after="0"/>
        <w:jc w:val="both"/>
        <w:rPr>
          <w:rFonts w:ascii="Times New Roman" w:eastAsia="Calibri" w:hAnsi="Times New Roman" w:cs="Times New Roman"/>
          <w:sz w:val="24"/>
          <w:szCs w:val="24"/>
          <w:lang w:val="ro-RO"/>
        </w:rPr>
      </w:pPr>
      <w:r w:rsidRPr="00FE15A1">
        <w:rPr>
          <w:rFonts w:ascii="Times New Roman" w:eastAsia="Calibri" w:hAnsi="Times New Roman" w:cs="Times New Roman"/>
          <w:sz w:val="24"/>
          <w:szCs w:val="24"/>
          <w:lang w:val="ro-RO"/>
        </w:rPr>
        <w:t xml:space="preserve">sec. </w:t>
      </w:r>
      <w:r w:rsidR="0078312C" w:rsidRPr="00FE15A1">
        <w:rPr>
          <w:rFonts w:ascii="Times New Roman" w:eastAsia="Calibri" w:hAnsi="Times New Roman" w:cs="Times New Roman"/>
          <w:sz w:val="24"/>
          <w:szCs w:val="24"/>
          <w:lang w:val="ro-RO"/>
        </w:rPr>
        <w:t>Inkilap</w:t>
      </w:r>
      <w:r w:rsidRPr="00FE15A1">
        <w:rPr>
          <w:rFonts w:ascii="Times New Roman" w:eastAsia="Calibri" w:hAnsi="Times New Roman" w:cs="Times New Roman"/>
          <w:sz w:val="24"/>
          <w:szCs w:val="24"/>
          <w:lang w:val="ro-RO"/>
        </w:rPr>
        <w:t>, str. Dr. Adnan Buyukdeniz 14, 34768</w:t>
      </w:r>
    </w:p>
    <w:p w14:paraId="65602F38" w14:textId="77777777" w:rsidR="00CA6BD8" w:rsidRPr="00FE15A1" w:rsidRDefault="00CA6BD8" w:rsidP="00CA6BD8">
      <w:pPr>
        <w:spacing w:after="0"/>
        <w:jc w:val="both"/>
        <w:rPr>
          <w:rFonts w:ascii="Times New Roman" w:eastAsia="Calibri" w:hAnsi="Times New Roman" w:cs="Times New Roman"/>
          <w:sz w:val="24"/>
          <w:szCs w:val="24"/>
          <w:lang w:val="ro-RO"/>
        </w:rPr>
      </w:pPr>
      <w:r w:rsidRPr="00FE15A1">
        <w:rPr>
          <w:rFonts w:ascii="Times New Roman" w:eastAsia="Calibri" w:hAnsi="Times New Roman" w:cs="Times New Roman"/>
          <w:sz w:val="24"/>
          <w:szCs w:val="24"/>
          <w:lang w:val="ro-RO"/>
        </w:rPr>
        <w:t>Umraniye, Istanbul, Turcia.</w:t>
      </w:r>
    </w:p>
    <w:bookmarkEnd w:id="8"/>
    <w:p w14:paraId="444D16C8" w14:textId="2B883708" w:rsidR="00E70C00" w:rsidRPr="00270D5B" w:rsidRDefault="00E70C00"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Tel: (216) 633 60 00</w:t>
      </w:r>
    </w:p>
    <w:p w14:paraId="5C6FDB95" w14:textId="77777777" w:rsidR="00170B94" w:rsidRPr="00270D5B" w:rsidRDefault="00E70C00" w:rsidP="002B222E">
      <w:pPr>
        <w:spacing w:after="0"/>
        <w:jc w:val="both"/>
        <w:rPr>
          <w:rFonts w:ascii="Times New Roman" w:hAnsi="Times New Roman" w:cs="Times New Roman"/>
          <w:sz w:val="24"/>
          <w:szCs w:val="24"/>
          <w:lang w:val="ro-RO"/>
        </w:rPr>
      </w:pPr>
      <w:r w:rsidRPr="00270D5B">
        <w:rPr>
          <w:rFonts w:ascii="Times New Roman" w:hAnsi="Times New Roman" w:cs="Times New Roman"/>
          <w:sz w:val="24"/>
          <w:szCs w:val="24"/>
          <w:lang w:val="ro-RO"/>
        </w:rPr>
        <w:t>Fa</w:t>
      </w:r>
      <w:r w:rsidR="00095603" w:rsidRPr="00270D5B">
        <w:rPr>
          <w:rFonts w:ascii="Times New Roman" w:hAnsi="Times New Roman" w:cs="Times New Roman"/>
          <w:sz w:val="24"/>
          <w:szCs w:val="24"/>
          <w:lang w:val="ro-RO"/>
        </w:rPr>
        <w:t>x</w:t>
      </w:r>
      <w:r w:rsidRPr="00270D5B">
        <w:rPr>
          <w:rFonts w:ascii="Times New Roman" w:hAnsi="Times New Roman" w:cs="Times New Roman"/>
          <w:sz w:val="24"/>
          <w:szCs w:val="24"/>
          <w:lang w:val="ro-RO"/>
        </w:rPr>
        <w:t>: (216) 633 60 01</w:t>
      </w:r>
    </w:p>
    <w:p w14:paraId="4A47D6AB" w14:textId="77777777" w:rsidR="00E70C00" w:rsidRDefault="00E70C00" w:rsidP="002B222E">
      <w:pPr>
        <w:spacing w:after="0"/>
        <w:jc w:val="both"/>
        <w:rPr>
          <w:rFonts w:ascii="Times New Roman" w:hAnsi="Times New Roman" w:cs="Times New Roman"/>
          <w:sz w:val="24"/>
          <w:szCs w:val="24"/>
          <w:lang w:val="ro-RO"/>
        </w:rPr>
      </w:pPr>
    </w:p>
    <w:p w14:paraId="1344C74B" w14:textId="77777777" w:rsidR="00325CCA" w:rsidRPr="00270D5B" w:rsidRDefault="00325CCA" w:rsidP="002B222E">
      <w:pPr>
        <w:spacing w:after="0"/>
        <w:jc w:val="both"/>
        <w:rPr>
          <w:rFonts w:ascii="Times New Roman" w:hAnsi="Times New Roman" w:cs="Times New Roman"/>
          <w:sz w:val="24"/>
          <w:szCs w:val="24"/>
          <w:lang w:val="ro-RO"/>
        </w:rPr>
      </w:pPr>
    </w:p>
    <w:p w14:paraId="52DEF56F" w14:textId="77777777" w:rsidR="00325CCA" w:rsidRPr="00325CCA" w:rsidRDefault="00170B94" w:rsidP="00325CCA">
      <w:pPr>
        <w:spacing w:after="0"/>
        <w:jc w:val="both"/>
        <w:rPr>
          <w:rFonts w:ascii="Times New Roman" w:hAnsi="Times New Roman" w:cs="Times New Roman"/>
          <w:b/>
          <w:bCs/>
          <w:sz w:val="24"/>
          <w:szCs w:val="24"/>
          <w:lang w:val="ro-RO" w:bidi="ro-RO"/>
        </w:rPr>
      </w:pPr>
      <w:r w:rsidRPr="00270D5B">
        <w:rPr>
          <w:rFonts w:ascii="Times New Roman" w:hAnsi="Times New Roman" w:cs="Times New Roman"/>
          <w:b/>
          <w:bCs/>
          <w:sz w:val="24"/>
          <w:szCs w:val="24"/>
          <w:lang w:val="ro-RO"/>
        </w:rPr>
        <w:t xml:space="preserve">8. </w:t>
      </w:r>
      <w:bookmarkStart w:id="9" w:name="_Hlk210205916"/>
      <w:r w:rsidRPr="00270D5B">
        <w:rPr>
          <w:rFonts w:ascii="Times New Roman" w:hAnsi="Times New Roman" w:cs="Times New Roman"/>
          <w:b/>
          <w:bCs/>
          <w:sz w:val="24"/>
          <w:szCs w:val="24"/>
          <w:lang w:val="ro-RO"/>
        </w:rPr>
        <w:t>NUMĂRUL</w:t>
      </w:r>
      <w:r w:rsidR="00095603" w:rsidRPr="00270D5B">
        <w:rPr>
          <w:rFonts w:ascii="Times New Roman" w:hAnsi="Times New Roman" w:cs="Times New Roman"/>
          <w:b/>
          <w:bCs/>
          <w:sz w:val="24"/>
          <w:szCs w:val="24"/>
          <w:lang w:val="ro-RO"/>
        </w:rPr>
        <w:t xml:space="preserve"> </w:t>
      </w:r>
      <w:r w:rsidR="00325CCA" w:rsidRPr="00325CCA">
        <w:rPr>
          <w:rFonts w:ascii="Times New Roman" w:hAnsi="Times New Roman" w:cs="Times New Roman"/>
          <w:b/>
          <w:bCs/>
          <w:sz w:val="24"/>
          <w:szCs w:val="24"/>
          <w:lang w:val="ro-RO" w:bidi="ro-RO"/>
        </w:rPr>
        <w:t>AUTORIZAŢIEI DE PUNERE PE PIAŢĂ</w:t>
      </w:r>
      <w:bookmarkEnd w:id="9"/>
    </w:p>
    <w:p w14:paraId="0E2F6677" w14:textId="72261A2F" w:rsidR="00086CE2" w:rsidRDefault="00325CCA" w:rsidP="002B222E">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30837</w:t>
      </w:r>
    </w:p>
    <w:p w14:paraId="60DEDFF5" w14:textId="4116A08E" w:rsidR="00325CCA" w:rsidRDefault="00325CCA" w:rsidP="002B222E">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30836</w:t>
      </w:r>
    </w:p>
    <w:p w14:paraId="37BCB3B7" w14:textId="238D0FAA" w:rsidR="00325CCA" w:rsidRDefault="00325CCA" w:rsidP="002B222E">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30835</w:t>
      </w:r>
    </w:p>
    <w:p w14:paraId="6219DF19" w14:textId="77777777" w:rsidR="00325CCA" w:rsidRDefault="00325CCA" w:rsidP="002B222E">
      <w:pPr>
        <w:spacing w:after="0"/>
        <w:jc w:val="both"/>
        <w:rPr>
          <w:rFonts w:ascii="Times New Roman" w:hAnsi="Times New Roman" w:cs="Times New Roman"/>
          <w:sz w:val="24"/>
          <w:szCs w:val="24"/>
          <w:lang w:val="ro-RO"/>
        </w:rPr>
      </w:pPr>
    </w:p>
    <w:p w14:paraId="6B5DD481" w14:textId="77777777" w:rsidR="00325CCA" w:rsidRPr="00270D5B" w:rsidRDefault="00325CCA" w:rsidP="002B222E">
      <w:pPr>
        <w:spacing w:after="0"/>
        <w:jc w:val="both"/>
        <w:rPr>
          <w:rFonts w:ascii="Times New Roman" w:hAnsi="Times New Roman" w:cs="Times New Roman"/>
          <w:sz w:val="24"/>
          <w:szCs w:val="24"/>
          <w:lang w:val="ro-RO"/>
        </w:rPr>
      </w:pPr>
    </w:p>
    <w:p w14:paraId="5E6DECBB" w14:textId="5C0486A3" w:rsidR="00170B94" w:rsidRDefault="00170B94" w:rsidP="002B222E">
      <w:pPr>
        <w:spacing w:after="0"/>
        <w:jc w:val="both"/>
        <w:rPr>
          <w:rFonts w:ascii="Times New Roman" w:hAnsi="Times New Roman" w:cs="Times New Roman"/>
          <w:b/>
          <w:bCs/>
          <w:sz w:val="24"/>
          <w:szCs w:val="24"/>
        </w:rPr>
      </w:pPr>
      <w:r w:rsidRPr="00270D5B">
        <w:rPr>
          <w:rFonts w:ascii="Times New Roman" w:hAnsi="Times New Roman" w:cs="Times New Roman"/>
          <w:b/>
          <w:bCs/>
          <w:sz w:val="24"/>
          <w:szCs w:val="24"/>
          <w:lang w:val="ro-RO"/>
        </w:rPr>
        <w:t xml:space="preserve">9. </w:t>
      </w:r>
      <w:r w:rsidR="00325CCA" w:rsidRPr="00325CCA">
        <w:rPr>
          <w:rFonts w:ascii="Times New Roman" w:hAnsi="Times New Roman" w:cs="Times New Roman"/>
          <w:b/>
          <w:bCs/>
          <w:sz w:val="24"/>
          <w:szCs w:val="24"/>
        </w:rPr>
        <w:t>DATA AUTORIZĂRII</w:t>
      </w:r>
    </w:p>
    <w:p w14:paraId="3AA6D929" w14:textId="77777777" w:rsidR="00325CCA" w:rsidRDefault="00325CCA" w:rsidP="00325CCA">
      <w:pPr>
        <w:rPr>
          <w:rFonts w:ascii="Times New Roman" w:hAnsi="Times New Roman" w:cs="Times New Roman"/>
          <w:sz w:val="24"/>
          <w:szCs w:val="24"/>
          <w:lang w:val="ro-RO"/>
        </w:rPr>
      </w:pPr>
      <w:bookmarkStart w:id="10" w:name="_Hlk210207432"/>
      <w:r w:rsidRPr="00325CCA">
        <w:rPr>
          <w:rFonts w:ascii="Times New Roman" w:hAnsi="Times New Roman" w:cs="Times New Roman"/>
          <w:sz w:val="24"/>
          <w:szCs w:val="24"/>
          <w:lang w:val="ro-RO"/>
        </w:rPr>
        <w:t>29.09.2025</w:t>
      </w:r>
    </w:p>
    <w:p w14:paraId="62744746" w14:textId="77777777" w:rsidR="00325CCA" w:rsidRPr="00325CCA" w:rsidRDefault="00325CCA" w:rsidP="00325CCA">
      <w:pPr>
        <w:rPr>
          <w:rFonts w:ascii="Times New Roman" w:hAnsi="Times New Roman" w:cs="Times New Roman"/>
          <w:sz w:val="24"/>
          <w:szCs w:val="24"/>
          <w:lang w:val="ro-RO"/>
        </w:rPr>
      </w:pPr>
    </w:p>
    <w:bookmarkEnd w:id="10"/>
    <w:p w14:paraId="3E09C3F8" w14:textId="77777777" w:rsidR="00325CCA" w:rsidRPr="00325CCA" w:rsidRDefault="00325CCA" w:rsidP="00325CCA">
      <w:pPr>
        <w:spacing w:after="0"/>
        <w:jc w:val="both"/>
        <w:rPr>
          <w:rFonts w:ascii="Times New Roman" w:hAnsi="Times New Roman" w:cs="Times New Roman"/>
          <w:b/>
          <w:bCs/>
          <w:sz w:val="24"/>
          <w:szCs w:val="24"/>
          <w:lang w:val="ro-RO"/>
        </w:rPr>
      </w:pPr>
      <w:r w:rsidRPr="00325CCA">
        <w:rPr>
          <w:rFonts w:ascii="Times New Roman" w:hAnsi="Times New Roman" w:cs="Times New Roman"/>
          <w:b/>
          <w:bCs/>
          <w:sz w:val="24"/>
          <w:szCs w:val="24"/>
          <w:lang w:val="ro-RO"/>
        </w:rPr>
        <w:t>10. DATA REVIZUIRII TEXTULUI</w:t>
      </w:r>
    </w:p>
    <w:p w14:paraId="10BC51F5" w14:textId="17AFD9BD" w:rsidR="00325CCA" w:rsidRDefault="00325CCA" w:rsidP="00325CCA">
      <w:pPr>
        <w:spacing w:after="0"/>
        <w:jc w:val="both"/>
        <w:rPr>
          <w:rFonts w:ascii="Times New Roman" w:hAnsi="Times New Roman" w:cs="Times New Roman"/>
          <w:sz w:val="24"/>
          <w:szCs w:val="24"/>
          <w:lang w:val="ro-RO"/>
        </w:rPr>
      </w:pPr>
      <w:r w:rsidRPr="00325CCA">
        <w:rPr>
          <w:rFonts w:ascii="Times New Roman" w:hAnsi="Times New Roman" w:cs="Times New Roman"/>
          <w:sz w:val="24"/>
          <w:szCs w:val="24"/>
          <w:lang w:val="ro-RO"/>
        </w:rPr>
        <w:t>Septembrie 2025</w:t>
      </w:r>
    </w:p>
    <w:p w14:paraId="0B4EBEEB" w14:textId="77777777" w:rsidR="00325CCA" w:rsidRDefault="00325CCA" w:rsidP="00325CCA">
      <w:pPr>
        <w:spacing w:after="0"/>
        <w:jc w:val="both"/>
        <w:rPr>
          <w:rFonts w:ascii="Times New Roman" w:hAnsi="Times New Roman" w:cs="Times New Roman"/>
          <w:sz w:val="24"/>
          <w:szCs w:val="24"/>
          <w:lang w:val="ro-RO"/>
        </w:rPr>
      </w:pPr>
    </w:p>
    <w:p w14:paraId="202078A8" w14:textId="77777777" w:rsidR="00B86F56" w:rsidRDefault="00B86F56" w:rsidP="00325CCA">
      <w:pPr>
        <w:spacing w:after="0"/>
        <w:jc w:val="both"/>
        <w:rPr>
          <w:rFonts w:ascii="Times New Roman" w:hAnsi="Times New Roman" w:cs="Times New Roman"/>
          <w:sz w:val="24"/>
          <w:szCs w:val="24"/>
          <w:lang w:val="ro-RO"/>
        </w:rPr>
      </w:pPr>
    </w:p>
    <w:p w14:paraId="5EC0971D" w14:textId="6493A6B6" w:rsidR="00325CCA" w:rsidRPr="00325CCA" w:rsidRDefault="00325CCA" w:rsidP="00325CCA">
      <w:pPr>
        <w:spacing w:after="0"/>
        <w:jc w:val="both"/>
        <w:rPr>
          <w:rFonts w:ascii="Times New Roman" w:hAnsi="Times New Roman" w:cs="Times New Roman"/>
          <w:sz w:val="24"/>
          <w:szCs w:val="24"/>
          <w:lang w:val="ro-RO"/>
        </w:rPr>
      </w:pPr>
      <w:r w:rsidRPr="00325CCA">
        <w:rPr>
          <w:rFonts w:ascii="Times New Roman" w:hAnsi="Times New Roman" w:cs="Times New Roman"/>
          <w:sz w:val="24"/>
          <w:szCs w:val="24"/>
          <w:lang w:val="ro-RO"/>
        </w:rPr>
        <w:t>Informaţii detaliate privind acest medicament sunt disponibile pe site-ul Agenţiei Medicamentului şi Dispozitivelor Medicale (AMDM) http://nomenclator.amdm.gov.md/</w:t>
      </w:r>
    </w:p>
    <w:sectPr w:rsidR="00325CCA" w:rsidRPr="00325CCA" w:rsidSect="001B6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6537"/>
    <w:multiLevelType w:val="hybridMultilevel"/>
    <w:tmpl w:val="FEC4578E"/>
    <w:lvl w:ilvl="0" w:tplc="B04CDA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F5A44"/>
    <w:multiLevelType w:val="hybridMultilevel"/>
    <w:tmpl w:val="C8BEDFDE"/>
    <w:lvl w:ilvl="0" w:tplc="252ECC08">
      <w:start w:val="94"/>
      <w:numFmt w:val="bullet"/>
      <w:lvlText w:val=""/>
      <w:lvlJc w:val="left"/>
      <w:pPr>
        <w:ind w:left="720" w:hanging="360"/>
      </w:pPr>
      <w:rPr>
        <w:rFonts w:ascii="Wingdings" w:eastAsiaTheme="minorHAns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866E58"/>
    <w:multiLevelType w:val="hybridMultilevel"/>
    <w:tmpl w:val="C6FC34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74536D"/>
    <w:multiLevelType w:val="hybridMultilevel"/>
    <w:tmpl w:val="A0823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05FC6"/>
    <w:multiLevelType w:val="hybridMultilevel"/>
    <w:tmpl w:val="0FEE8DB4"/>
    <w:lvl w:ilvl="0" w:tplc="E9A4BC7A">
      <w:start w:val="100"/>
      <w:numFmt w:val="bullet"/>
      <w:lvlText w:val=""/>
      <w:lvlJc w:val="left"/>
      <w:pPr>
        <w:ind w:left="720" w:hanging="360"/>
      </w:pPr>
      <w:rPr>
        <w:rFonts w:ascii="Wingdings" w:eastAsiaTheme="minorHAns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751ED9"/>
    <w:multiLevelType w:val="hybridMultilevel"/>
    <w:tmpl w:val="4C9C5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F4D31"/>
    <w:multiLevelType w:val="hybridMultilevel"/>
    <w:tmpl w:val="076616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20868BA"/>
    <w:multiLevelType w:val="hybridMultilevel"/>
    <w:tmpl w:val="0A1AE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6841C0"/>
    <w:multiLevelType w:val="hybridMultilevel"/>
    <w:tmpl w:val="C13CA21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76A0DD6"/>
    <w:multiLevelType w:val="hybridMultilevel"/>
    <w:tmpl w:val="F8C64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314378"/>
    <w:multiLevelType w:val="hybridMultilevel"/>
    <w:tmpl w:val="D9320EFC"/>
    <w:lvl w:ilvl="0" w:tplc="DA2665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1801433">
    <w:abstractNumId w:val="3"/>
  </w:num>
  <w:num w:numId="2" w16cid:durableId="1433739725">
    <w:abstractNumId w:val="10"/>
  </w:num>
  <w:num w:numId="3" w16cid:durableId="1662463860">
    <w:abstractNumId w:val="2"/>
  </w:num>
  <w:num w:numId="4" w16cid:durableId="2117869082">
    <w:abstractNumId w:val="1"/>
  </w:num>
  <w:num w:numId="5" w16cid:durableId="1999306974">
    <w:abstractNumId w:val="4"/>
  </w:num>
  <w:num w:numId="6" w16cid:durableId="2145269365">
    <w:abstractNumId w:val="9"/>
  </w:num>
  <w:num w:numId="7" w16cid:durableId="1157379883">
    <w:abstractNumId w:val="6"/>
  </w:num>
  <w:num w:numId="8" w16cid:durableId="1296370545">
    <w:abstractNumId w:val="5"/>
  </w:num>
  <w:num w:numId="9" w16cid:durableId="1430128161">
    <w:abstractNumId w:val="7"/>
  </w:num>
  <w:num w:numId="10" w16cid:durableId="1578394856">
    <w:abstractNumId w:val="0"/>
  </w:num>
  <w:num w:numId="11" w16cid:durableId="5706969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B94"/>
    <w:rsid w:val="00022F7C"/>
    <w:rsid w:val="00026AB3"/>
    <w:rsid w:val="00047ADC"/>
    <w:rsid w:val="00062AC8"/>
    <w:rsid w:val="00074DA3"/>
    <w:rsid w:val="00086CE2"/>
    <w:rsid w:val="0009175B"/>
    <w:rsid w:val="00095603"/>
    <w:rsid w:val="000E3F04"/>
    <w:rsid w:val="000E4CFE"/>
    <w:rsid w:val="000F1CD7"/>
    <w:rsid w:val="001270B9"/>
    <w:rsid w:val="00170B94"/>
    <w:rsid w:val="0017280C"/>
    <w:rsid w:val="00177EB0"/>
    <w:rsid w:val="001B69C9"/>
    <w:rsid w:val="001B6CE7"/>
    <w:rsid w:val="001E27C3"/>
    <w:rsid w:val="00204ACB"/>
    <w:rsid w:val="00237765"/>
    <w:rsid w:val="00270D5B"/>
    <w:rsid w:val="002B222E"/>
    <w:rsid w:val="002C47D1"/>
    <w:rsid w:val="002E6285"/>
    <w:rsid w:val="00325CCA"/>
    <w:rsid w:val="0033461C"/>
    <w:rsid w:val="00346146"/>
    <w:rsid w:val="0038046A"/>
    <w:rsid w:val="00397867"/>
    <w:rsid w:val="003B2784"/>
    <w:rsid w:val="003B7DBC"/>
    <w:rsid w:val="0041366F"/>
    <w:rsid w:val="00435BA2"/>
    <w:rsid w:val="004665C5"/>
    <w:rsid w:val="00470C5B"/>
    <w:rsid w:val="004A44C0"/>
    <w:rsid w:val="005033E3"/>
    <w:rsid w:val="0056059D"/>
    <w:rsid w:val="00597406"/>
    <w:rsid w:val="005B0A7D"/>
    <w:rsid w:val="005B52AC"/>
    <w:rsid w:val="005C281C"/>
    <w:rsid w:val="00602FFA"/>
    <w:rsid w:val="006100A0"/>
    <w:rsid w:val="00617BF8"/>
    <w:rsid w:val="00636D7A"/>
    <w:rsid w:val="00647BF9"/>
    <w:rsid w:val="00660FD2"/>
    <w:rsid w:val="00684018"/>
    <w:rsid w:val="006C6ADA"/>
    <w:rsid w:val="00716BF3"/>
    <w:rsid w:val="007207C5"/>
    <w:rsid w:val="00726B47"/>
    <w:rsid w:val="007529E4"/>
    <w:rsid w:val="00763ADC"/>
    <w:rsid w:val="0078312C"/>
    <w:rsid w:val="007A1768"/>
    <w:rsid w:val="007C0841"/>
    <w:rsid w:val="007F7B3D"/>
    <w:rsid w:val="008159E8"/>
    <w:rsid w:val="008204CC"/>
    <w:rsid w:val="00821422"/>
    <w:rsid w:val="00844A0B"/>
    <w:rsid w:val="008474E0"/>
    <w:rsid w:val="00884B65"/>
    <w:rsid w:val="008A1C23"/>
    <w:rsid w:val="008B5823"/>
    <w:rsid w:val="0093645B"/>
    <w:rsid w:val="00937347"/>
    <w:rsid w:val="00967760"/>
    <w:rsid w:val="009A7E39"/>
    <w:rsid w:val="009C2272"/>
    <w:rsid w:val="009F697A"/>
    <w:rsid w:val="00A23A5F"/>
    <w:rsid w:val="00A3024C"/>
    <w:rsid w:val="00A522DD"/>
    <w:rsid w:val="00A56BF4"/>
    <w:rsid w:val="00A66998"/>
    <w:rsid w:val="00A823B2"/>
    <w:rsid w:val="00AA7177"/>
    <w:rsid w:val="00AB6549"/>
    <w:rsid w:val="00AC03D4"/>
    <w:rsid w:val="00AE78EF"/>
    <w:rsid w:val="00B03ECF"/>
    <w:rsid w:val="00B055D9"/>
    <w:rsid w:val="00B11441"/>
    <w:rsid w:val="00B477CD"/>
    <w:rsid w:val="00B52142"/>
    <w:rsid w:val="00B533AF"/>
    <w:rsid w:val="00B74EA5"/>
    <w:rsid w:val="00B86F56"/>
    <w:rsid w:val="00BB2FE9"/>
    <w:rsid w:val="00BB52DC"/>
    <w:rsid w:val="00BC153D"/>
    <w:rsid w:val="00BC2D2D"/>
    <w:rsid w:val="00BC5094"/>
    <w:rsid w:val="00BC5CF7"/>
    <w:rsid w:val="00C02084"/>
    <w:rsid w:val="00C114C7"/>
    <w:rsid w:val="00C13EEC"/>
    <w:rsid w:val="00C21DDB"/>
    <w:rsid w:val="00C81433"/>
    <w:rsid w:val="00C823F0"/>
    <w:rsid w:val="00C8579C"/>
    <w:rsid w:val="00CA6BD8"/>
    <w:rsid w:val="00CD24B3"/>
    <w:rsid w:val="00D250B4"/>
    <w:rsid w:val="00D25164"/>
    <w:rsid w:val="00D306A2"/>
    <w:rsid w:val="00D813F4"/>
    <w:rsid w:val="00D82BAA"/>
    <w:rsid w:val="00DF2775"/>
    <w:rsid w:val="00DF4666"/>
    <w:rsid w:val="00E0369F"/>
    <w:rsid w:val="00E57046"/>
    <w:rsid w:val="00E677CA"/>
    <w:rsid w:val="00E70C00"/>
    <w:rsid w:val="00E81550"/>
    <w:rsid w:val="00E935DD"/>
    <w:rsid w:val="00EB0B51"/>
    <w:rsid w:val="00EB3D52"/>
    <w:rsid w:val="00EB7CAC"/>
    <w:rsid w:val="00ED21CD"/>
    <w:rsid w:val="00EE72D4"/>
    <w:rsid w:val="00F07A5E"/>
    <w:rsid w:val="00F1659C"/>
    <w:rsid w:val="00F375D3"/>
    <w:rsid w:val="00F85A20"/>
    <w:rsid w:val="00F8668E"/>
    <w:rsid w:val="00FC19A5"/>
    <w:rsid w:val="00FE142F"/>
    <w:rsid w:val="00FE15A1"/>
    <w:rsid w:val="00FE57CD"/>
    <w:rsid w:val="00FE5BA8"/>
    <w:rsid w:val="00FF0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DF8D"/>
  <w15:chartTrackingRefBased/>
  <w15:docId w15:val="{A5221A0E-2462-43FE-9312-675FDE4E5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DBC"/>
    <w:pPr>
      <w:ind w:left="720"/>
      <w:contextualSpacing/>
    </w:pPr>
  </w:style>
  <w:style w:type="table" w:styleId="TableGrid">
    <w:name w:val="Table Grid"/>
    <w:basedOn w:val="TableNormal"/>
    <w:uiPriority w:val="39"/>
    <w:rsid w:val="00726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23F0"/>
    <w:rPr>
      <w:color w:val="0563C1" w:themeColor="hyperlink"/>
      <w:u w:val="single"/>
    </w:rPr>
  </w:style>
  <w:style w:type="character" w:styleId="UnresolvedMention">
    <w:name w:val="Unresolved Mention"/>
    <w:basedOn w:val="DefaultParagraphFont"/>
    <w:uiPriority w:val="99"/>
    <w:semiHidden/>
    <w:unhideWhenUsed/>
    <w:rsid w:val="00C823F0"/>
    <w:rPr>
      <w:color w:val="605E5C"/>
      <w:shd w:val="clear" w:color="auto" w:fill="E1DFDD"/>
    </w:rPr>
  </w:style>
  <w:style w:type="paragraph" w:styleId="NoSpacing">
    <w:name w:val="No Spacing"/>
    <w:qFormat/>
    <w:rsid w:val="00B11441"/>
    <w:pPr>
      <w:spacing w:after="0" w:line="240" w:lineRule="auto"/>
    </w:pPr>
    <w:rPr>
      <w:rFonts w:ascii="Calibri" w:eastAsia="Calibri" w:hAnsi="Calibri" w:cs="Times New Roman"/>
      <w:lang w:val="ru-RU"/>
    </w:rPr>
  </w:style>
  <w:style w:type="paragraph" w:styleId="BalloonText">
    <w:name w:val="Balloon Text"/>
    <w:basedOn w:val="Normal"/>
    <w:link w:val="BalloonTextChar"/>
    <w:uiPriority w:val="99"/>
    <w:semiHidden/>
    <w:unhideWhenUsed/>
    <w:rsid w:val="005974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406"/>
    <w:rPr>
      <w:rFonts w:ascii="Segoe UI" w:hAnsi="Segoe UI" w:cs="Segoe UI"/>
      <w:sz w:val="18"/>
      <w:szCs w:val="18"/>
    </w:rPr>
  </w:style>
  <w:style w:type="paragraph" w:customStyle="1" w:styleId="Default">
    <w:name w:val="Default"/>
    <w:rsid w:val="00A6699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rmacovigilenta@amdm.gov.m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30</Pages>
  <Words>12326</Words>
  <Characters>70260</Characters>
  <Application>Microsoft Office Word</Application>
  <DocSecurity>0</DocSecurity>
  <Lines>585</Lines>
  <Paragraphs>164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Zentiva</Company>
  <LinksUpToDate>false</LinksUpToDate>
  <CharactersWithSpaces>82422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Mihail /RO/EXT</dc:creator>
  <cp:keywords/>
  <dc:description/>
  <cp:lastModifiedBy>Veaceslav Culev</cp:lastModifiedBy>
  <cp:revision>7</cp:revision>
  <cp:lastPrinted>2026-05-05T11:48:00Z</cp:lastPrinted>
  <dcterms:created xsi:type="dcterms:W3CDTF">2025-09-30T12:18:00Z</dcterms:created>
  <dcterms:modified xsi:type="dcterms:W3CDTF">2026-05-05T11:48:00Z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77090e1-ee9b-4efa-b8e1-2d7297e04a36_Enabled">
    <vt:lpwstr>true</vt:lpwstr>
  </property>
  <property fmtid="{D5CDD505-2E9C-101B-9397-08002B2CF9AE}" pid="3" name="MSIP_Label_077090e1-ee9b-4efa-b8e1-2d7297e04a36_SetDate">
    <vt:lpwstr>2025-07-28T15:46:15Z</vt:lpwstr>
  </property>
  <property fmtid="{D5CDD505-2E9C-101B-9397-08002B2CF9AE}" pid="4" name="MSIP_Label_077090e1-ee9b-4efa-b8e1-2d7297e04a36_Method">
    <vt:lpwstr>Standard</vt:lpwstr>
  </property>
  <property fmtid="{D5CDD505-2E9C-101B-9397-08002B2CF9AE}" pid="5" name="MSIP_Label_077090e1-ee9b-4efa-b8e1-2d7297e04a36_Name">
    <vt:lpwstr>077090e1-ee9b-4efa-b8e1-2d7297e04a36</vt:lpwstr>
  </property>
  <property fmtid="{D5CDD505-2E9C-101B-9397-08002B2CF9AE}" pid="6" name="MSIP_Label_077090e1-ee9b-4efa-b8e1-2d7297e04a36_SiteId">
    <vt:lpwstr>9c6d9fad-373d-4490-9d9d-4ea4175cb82d</vt:lpwstr>
  </property>
  <property fmtid="{D5CDD505-2E9C-101B-9397-08002B2CF9AE}" pid="7" name="MSIP_Label_077090e1-ee9b-4efa-b8e1-2d7297e04a36_ActionId">
    <vt:lpwstr>e29d698f-2ddb-4cbd-956e-bb8c020521f2</vt:lpwstr>
  </property>
  <property fmtid="{D5CDD505-2E9C-101B-9397-08002B2CF9AE}" pid="8" name="MSIP_Label_077090e1-ee9b-4efa-b8e1-2d7297e04a36_ContentBits">
    <vt:lpwstr>0</vt:lpwstr>
  </property>
  <property fmtid="{D5CDD505-2E9C-101B-9397-08002B2CF9AE}" pid="9" name="MSIP_Label_077090e1-ee9b-4efa-b8e1-2d7297e04a36_Tag">
    <vt:lpwstr>10, 3, 0, 1</vt:lpwstr>
  </property>
</Properties>
</file>